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573" w:rsidRPr="00184601" w:rsidRDefault="00783573" w:rsidP="00045E39">
      <w:pPr>
        <w:jc w:val="both"/>
        <w:rPr>
          <w:rFonts w:ascii="Arial" w:hAnsi="Arial" w:cs="Arial"/>
          <w:b/>
          <w:sz w:val="22"/>
          <w:szCs w:val="22"/>
        </w:rPr>
      </w:pPr>
      <w:r w:rsidRPr="00184601">
        <w:rPr>
          <w:rFonts w:ascii="Arial" w:hAnsi="Arial" w:cs="Arial"/>
          <w:sz w:val="22"/>
          <w:szCs w:val="22"/>
        </w:rPr>
        <w:t xml:space="preserve">Señores </w:t>
      </w:r>
    </w:p>
    <w:p w:rsidR="00783573" w:rsidRPr="00184601" w:rsidRDefault="00783573" w:rsidP="00045E39">
      <w:pPr>
        <w:jc w:val="both"/>
        <w:rPr>
          <w:rFonts w:ascii="Arial" w:hAnsi="Arial" w:cs="Arial"/>
          <w:b/>
          <w:sz w:val="22"/>
          <w:szCs w:val="22"/>
        </w:rPr>
      </w:pPr>
      <w:r w:rsidRPr="00184601">
        <w:rPr>
          <w:rFonts w:ascii="Arial" w:hAnsi="Arial" w:cs="Arial"/>
          <w:b/>
          <w:sz w:val="22"/>
          <w:szCs w:val="22"/>
        </w:rPr>
        <w:t>COMITÉ DE CONCILIACION Y DEFENSA JUDICIAL</w:t>
      </w:r>
    </w:p>
    <w:p w:rsidR="00783573" w:rsidRPr="00184601" w:rsidRDefault="00783573" w:rsidP="00045E39">
      <w:pPr>
        <w:jc w:val="both"/>
        <w:rPr>
          <w:rFonts w:ascii="Arial" w:hAnsi="Arial" w:cs="Arial"/>
          <w:sz w:val="22"/>
          <w:szCs w:val="22"/>
        </w:rPr>
      </w:pPr>
      <w:proofErr w:type="spellStart"/>
      <w:r w:rsidRPr="00184601">
        <w:rPr>
          <w:rFonts w:ascii="Arial" w:hAnsi="Arial" w:cs="Arial"/>
          <w:sz w:val="22"/>
          <w:szCs w:val="22"/>
        </w:rPr>
        <w:t>Att</w:t>
      </w:r>
      <w:proofErr w:type="spellEnd"/>
      <w:r w:rsidRPr="00184601">
        <w:rPr>
          <w:rFonts w:ascii="Arial" w:hAnsi="Arial" w:cs="Arial"/>
          <w:sz w:val="22"/>
          <w:szCs w:val="22"/>
        </w:rPr>
        <w:t xml:space="preserve">. Dr. </w:t>
      </w:r>
      <w:r w:rsidR="003F6B60">
        <w:rPr>
          <w:rFonts w:ascii="Arial" w:hAnsi="Arial" w:cs="Arial"/>
          <w:sz w:val="22"/>
          <w:szCs w:val="22"/>
        </w:rPr>
        <w:t>EDGAR ALFONSO CADENA DÍAZ</w:t>
      </w:r>
    </w:p>
    <w:p w:rsidR="00783573" w:rsidRPr="00184601" w:rsidRDefault="00783573" w:rsidP="00045E39">
      <w:pPr>
        <w:jc w:val="both"/>
        <w:rPr>
          <w:rFonts w:ascii="Arial" w:hAnsi="Arial" w:cs="Arial"/>
          <w:sz w:val="22"/>
          <w:szCs w:val="22"/>
        </w:rPr>
      </w:pPr>
      <w:r w:rsidRPr="00184601">
        <w:rPr>
          <w:rFonts w:ascii="Arial" w:hAnsi="Arial" w:cs="Arial"/>
          <w:sz w:val="22"/>
          <w:szCs w:val="22"/>
        </w:rPr>
        <w:t>Coordinador Área Jurídica Departamento de Arauca.</w:t>
      </w:r>
    </w:p>
    <w:p w:rsidR="00783573" w:rsidRPr="00184601" w:rsidRDefault="00783573" w:rsidP="00045E39">
      <w:pPr>
        <w:jc w:val="both"/>
        <w:rPr>
          <w:rFonts w:ascii="Arial" w:hAnsi="Arial" w:cs="Arial"/>
          <w:sz w:val="22"/>
          <w:szCs w:val="22"/>
        </w:rPr>
      </w:pPr>
      <w:r w:rsidRPr="00184601">
        <w:rPr>
          <w:rFonts w:ascii="Arial" w:hAnsi="Arial" w:cs="Arial"/>
          <w:sz w:val="22"/>
          <w:szCs w:val="22"/>
        </w:rPr>
        <w:t>Arauca – Arauca.</w:t>
      </w:r>
    </w:p>
    <w:p w:rsidR="00783573" w:rsidRDefault="00783573" w:rsidP="00045E39">
      <w:pPr>
        <w:jc w:val="both"/>
        <w:rPr>
          <w:rFonts w:ascii="Arial" w:hAnsi="Arial" w:cs="Arial"/>
          <w:sz w:val="23"/>
          <w:szCs w:val="23"/>
        </w:rPr>
      </w:pPr>
    </w:p>
    <w:p w:rsidR="005702F5" w:rsidRPr="00184601" w:rsidRDefault="005702F5" w:rsidP="00045E39">
      <w:pPr>
        <w:jc w:val="both"/>
        <w:rPr>
          <w:rFonts w:ascii="Arial" w:hAnsi="Arial" w:cs="Arial"/>
          <w:b/>
          <w:color w:val="000000"/>
          <w:szCs w:val="24"/>
          <w:lang w:val="es-ES_tradnl"/>
        </w:rPr>
      </w:pPr>
    </w:p>
    <w:p w:rsidR="00783573" w:rsidRPr="00184601" w:rsidRDefault="00783573" w:rsidP="002E6467">
      <w:pPr>
        <w:tabs>
          <w:tab w:val="left" w:pos="3402"/>
        </w:tabs>
        <w:ind w:left="708" w:firstLine="708"/>
        <w:jc w:val="both"/>
        <w:rPr>
          <w:rFonts w:ascii="Arial" w:hAnsi="Arial" w:cs="Arial"/>
          <w:color w:val="000000"/>
          <w:sz w:val="22"/>
          <w:szCs w:val="22"/>
          <w:lang w:val="es-ES_tradnl"/>
        </w:rPr>
      </w:pPr>
      <w:r w:rsidRPr="00184601">
        <w:rPr>
          <w:rFonts w:ascii="Arial" w:hAnsi="Arial" w:cs="Arial"/>
          <w:b/>
          <w:color w:val="000000"/>
          <w:sz w:val="22"/>
          <w:szCs w:val="22"/>
          <w:lang w:val="es-ES_tradnl"/>
        </w:rPr>
        <w:t>REFERENCIA</w:t>
      </w:r>
      <w:r w:rsidRPr="00184601">
        <w:rPr>
          <w:rFonts w:ascii="Arial" w:hAnsi="Arial" w:cs="Arial"/>
          <w:b/>
          <w:color w:val="000000"/>
          <w:sz w:val="22"/>
          <w:szCs w:val="22"/>
          <w:lang w:val="es-ES_tradnl"/>
        </w:rPr>
        <w:tab/>
        <w:t xml:space="preserve">: </w:t>
      </w:r>
      <w:r w:rsidRPr="00184601">
        <w:rPr>
          <w:rFonts w:ascii="Arial" w:hAnsi="Arial" w:cs="Arial"/>
          <w:color w:val="000000"/>
          <w:sz w:val="22"/>
          <w:szCs w:val="22"/>
          <w:lang w:val="es-ES_tradnl"/>
        </w:rPr>
        <w:t>CONCILIACIÓN</w:t>
      </w:r>
      <w:r w:rsidR="003F6B60">
        <w:rPr>
          <w:rFonts w:ascii="Arial" w:hAnsi="Arial" w:cs="Arial"/>
          <w:color w:val="000000"/>
          <w:sz w:val="22"/>
          <w:szCs w:val="22"/>
          <w:lang w:val="es-ES_tradnl"/>
        </w:rPr>
        <w:t xml:space="preserve"> PREJUDICIAL </w:t>
      </w:r>
    </w:p>
    <w:p w:rsidR="00783573" w:rsidRPr="00184601" w:rsidRDefault="00783573" w:rsidP="002E6467">
      <w:pPr>
        <w:tabs>
          <w:tab w:val="left" w:pos="3402"/>
        </w:tabs>
        <w:ind w:left="708" w:firstLine="708"/>
        <w:jc w:val="both"/>
        <w:rPr>
          <w:rFonts w:ascii="Arial" w:hAnsi="Arial" w:cs="Arial"/>
          <w:color w:val="000000"/>
          <w:sz w:val="22"/>
          <w:szCs w:val="22"/>
          <w:lang w:val="es-ES_tradnl"/>
        </w:rPr>
      </w:pPr>
      <w:r w:rsidRPr="00184601">
        <w:rPr>
          <w:rFonts w:ascii="Arial" w:hAnsi="Arial" w:cs="Arial"/>
          <w:b/>
          <w:color w:val="000000"/>
          <w:sz w:val="22"/>
          <w:szCs w:val="22"/>
          <w:lang w:val="es-ES_tradnl"/>
        </w:rPr>
        <w:t>CONVOCANTE</w:t>
      </w:r>
      <w:r w:rsidRPr="00184601">
        <w:rPr>
          <w:rFonts w:ascii="Arial" w:hAnsi="Arial" w:cs="Arial"/>
          <w:b/>
          <w:color w:val="000000"/>
          <w:sz w:val="22"/>
          <w:szCs w:val="22"/>
          <w:lang w:val="es-ES_tradnl"/>
        </w:rPr>
        <w:tab/>
        <w:t xml:space="preserve">: </w:t>
      </w:r>
      <w:r w:rsidR="003F6B60">
        <w:rPr>
          <w:rFonts w:ascii="Arial" w:hAnsi="Arial" w:cs="Arial"/>
          <w:color w:val="000000"/>
          <w:sz w:val="22"/>
          <w:szCs w:val="22"/>
          <w:lang w:val="es-ES_tradnl"/>
        </w:rPr>
        <w:t xml:space="preserve">CONSORCIO VITAR </w:t>
      </w:r>
    </w:p>
    <w:p w:rsidR="00783573" w:rsidRPr="00184601" w:rsidRDefault="00783573" w:rsidP="002E6467">
      <w:pPr>
        <w:tabs>
          <w:tab w:val="left" w:pos="3402"/>
        </w:tabs>
        <w:ind w:left="708" w:firstLine="708"/>
        <w:jc w:val="both"/>
        <w:rPr>
          <w:rFonts w:ascii="Arial" w:hAnsi="Arial" w:cs="Arial"/>
          <w:color w:val="000000"/>
          <w:sz w:val="22"/>
          <w:szCs w:val="22"/>
          <w:lang w:val="es-ES_tradnl"/>
        </w:rPr>
      </w:pPr>
      <w:r w:rsidRPr="00184601">
        <w:rPr>
          <w:rFonts w:ascii="Arial" w:hAnsi="Arial" w:cs="Arial"/>
          <w:b/>
          <w:color w:val="000000"/>
          <w:sz w:val="22"/>
          <w:szCs w:val="22"/>
          <w:lang w:val="es-ES_tradnl"/>
        </w:rPr>
        <w:t>CONVOCADO</w:t>
      </w:r>
      <w:r w:rsidRPr="00184601">
        <w:rPr>
          <w:rFonts w:ascii="Arial" w:hAnsi="Arial" w:cs="Arial"/>
          <w:b/>
          <w:color w:val="000000"/>
          <w:sz w:val="22"/>
          <w:szCs w:val="22"/>
          <w:lang w:val="es-ES_tradnl"/>
        </w:rPr>
        <w:tab/>
        <w:t xml:space="preserve">: </w:t>
      </w:r>
      <w:r w:rsidRPr="00184601">
        <w:rPr>
          <w:rFonts w:ascii="Arial" w:hAnsi="Arial" w:cs="Arial"/>
          <w:color w:val="000000"/>
          <w:sz w:val="22"/>
          <w:szCs w:val="22"/>
          <w:lang w:val="es-ES_tradnl"/>
        </w:rPr>
        <w:t xml:space="preserve">DEPARTAMENTO DE ARAUCA </w:t>
      </w:r>
    </w:p>
    <w:p w:rsidR="00783573" w:rsidRPr="003F6B60" w:rsidRDefault="00783573" w:rsidP="009D034F">
      <w:pPr>
        <w:tabs>
          <w:tab w:val="left" w:pos="3402"/>
        </w:tabs>
        <w:ind w:left="3544" w:hanging="2126"/>
        <w:jc w:val="both"/>
        <w:rPr>
          <w:rFonts w:ascii="Arial" w:hAnsi="Arial" w:cs="Arial"/>
          <w:color w:val="FF0000"/>
          <w:sz w:val="22"/>
          <w:szCs w:val="22"/>
          <w:lang w:val="es-ES_tradnl"/>
        </w:rPr>
      </w:pPr>
      <w:r w:rsidRPr="00184601">
        <w:rPr>
          <w:rFonts w:ascii="Arial" w:hAnsi="Arial" w:cs="Arial"/>
          <w:b/>
          <w:color w:val="000000"/>
          <w:sz w:val="22"/>
          <w:szCs w:val="22"/>
          <w:lang w:val="es-ES_tradnl"/>
        </w:rPr>
        <w:t>DESPACHO</w:t>
      </w:r>
      <w:r w:rsidR="002E6467">
        <w:rPr>
          <w:rFonts w:ascii="Arial" w:hAnsi="Arial" w:cs="Arial"/>
          <w:b/>
          <w:color w:val="000000"/>
          <w:sz w:val="22"/>
          <w:szCs w:val="22"/>
          <w:lang w:val="es-ES_tradnl"/>
        </w:rPr>
        <w:t xml:space="preserve">         </w:t>
      </w:r>
      <w:r w:rsidR="009D034F">
        <w:rPr>
          <w:rFonts w:ascii="Arial" w:hAnsi="Arial" w:cs="Arial"/>
          <w:b/>
          <w:color w:val="000000"/>
          <w:sz w:val="22"/>
          <w:szCs w:val="22"/>
          <w:lang w:val="es-ES_tradnl"/>
        </w:rPr>
        <w:t xml:space="preserve">  </w:t>
      </w:r>
      <w:r w:rsidRPr="00184601">
        <w:rPr>
          <w:rFonts w:ascii="Arial" w:hAnsi="Arial" w:cs="Arial"/>
          <w:b/>
          <w:color w:val="000000"/>
          <w:sz w:val="22"/>
          <w:szCs w:val="22"/>
          <w:lang w:val="es-ES_tradnl"/>
        </w:rPr>
        <w:t xml:space="preserve">: </w:t>
      </w:r>
      <w:r w:rsidRPr="009D034F">
        <w:rPr>
          <w:rFonts w:ascii="Arial" w:hAnsi="Arial" w:cs="Arial"/>
          <w:sz w:val="22"/>
          <w:szCs w:val="22"/>
          <w:lang w:val="es-ES_tradnl"/>
        </w:rPr>
        <w:t xml:space="preserve">PROCURADURIA </w:t>
      </w:r>
      <w:r w:rsidR="009D034F">
        <w:rPr>
          <w:rFonts w:ascii="Arial" w:hAnsi="Arial" w:cs="Arial"/>
          <w:sz w:val="22"/>
          <w:szCs w:val="22"/>
          <w:lang w:val="es-ES_tradnl"/>
        </w:rPr>
        <w:t>172</w:t>
      </w:r>
      <w:r w:rsidRPr="009D034F">
        <w:rPr>
          <w:rFonts w:ascii="Arial" w:hAnsi="Arial" w:cs="Arial"/>
          <w:sz w:val="22"/>
          <w:szCs w:val="22"/>
          <w:lang w:val="es-ES_tradnl"/>
        </w:rPr>
        <w:t xml:space="preserve"> JUDICIAL II </w:t>
      </w:r>
      <w:r w:rsidR="002E6467" w:rsidRPr="009D034F">
        <w:rPr>
          <w:rFonts w:ascii="Arial" w:hAnsi="Arial" w:cs="Arial"/>
          <w:sz w:val="22"/>
          <w:szCs w:val="22"/>
          <w:lang w:val="es-ES_tradnl"/>
        </w:rPr>
        <w:t xml:space="preserve">ADMINISTRATIVA </w:t>
      </w:r>
      <w:r w:rsidRPr="009D034F">
        <w:rPr>
          <w:rFonts w:ascii="Arial" w:hAnsi="Arial" w:cs="Arial"/>
          <w:sz w:val="22"/>
          <w:szCs w:val="22"/>
          <w:lang w:val="es-ES_tradnl"/>
        </w:rPr>
        <w:t>DE ARAUCA</w:t>
      </w:r>
      <w:r w:rsidRPr="009D034F">
        <w:rPr>
          <w:rFonts w:ascii="Arial" w:hAnsi="Arial" w:cs="Arial"/>
          <w:sz w:val="22"/>
          <w:szCs w:val="22"/>
        </w:rPr>
        <w:t xml:space="preserve"> </w:t>
      </w:r>
    </w:p>
    <w:p w:rsidR="00783573" w:rsidRPr="00184601" w:rsidRDefault="002E6467" w:rsidP="00045E39">
      <w:pPr>
        <w:tabs>
          <w:tab w:val="left" w:pos="3544"/>
        </w:tabs>
        <w:ind w:left="3686" w:hanging="2270"/>
        <w:jc w:val="both"/>
        <w:rPr>
          <w:rFonts w:ascii="Arial" w:hAnsi="Arial" w:cs="Arial"/>
          <w:sz w:val="22"/>
          <w:szCs w:val="22"/>
        </w:rPr>
      </w:pPr>
      <w:r w:rsidRPr="002E6467">
        <w:rPr>
          <w:rFonts w:ascii="Arial" w:hAnsi="Arial" w:cs="Arial"/>
          <w:b/>
          <w:sz w:val="22"/>
          <w:szCs w:val="22"/>
        </w:rPr>
        <w:t>ASUNTO</w:t>
      </w:r>
      <w:r w:rsidR="006A332E" w:rsidRPr="00184601">
        <w:rPr>
          <w:rFonts w:ascii="Arial" w:hAnsi="Arial" w:cs="Arial"/>
          <w:sz w:val="22"/>
          <w:szCs w:val="22"/>
        </w:rPr>
        <w:t xml:space="preserve">                </w:t>
      </w:r>
      <w:r>
        <w:rPr>
          <w:rFonts w:ascii="Arial" w:hAnsi="Arial" w:cs="Arial"/>
          <w:sz w:val="22"/>
          <w:szCs w:val="22"/>
        </w:rPr>
        <w:t xml:space="preserve"> </w:t>
      </w:r>
      <w:r w:rsidR="00783573" w:rsidRPr="00184601">
        <w:rPr>
          <w:rFonts w:ascii="Arial" w:hAnsi="Arial" w:cs="Arial"/>
          <w:sz w:val="22"/>
          <w:szCs w:val="22"/>
        </w:rPr>
        <w:t>:</w:t>
      </w:r>
      <w:r w:rsidR="00783573" w:rsidRPr="00184601">
        <w:rPr>
          <w:rFonts w:ascii="Arial" w:hAnsi="Arial" w:cs="Arial"/>
          <w:b/>
          <w:sz w:val="22"/>
          <w:szCs w:val="22"/>
        </w:rPr>
        <w:t xml:space="preserve"> </w:t>
      </w:r>
      <w:r w:rsidR="006A332E" w:rsidRPr="00184601">
        <w:rPr>
          <w:rFonts w:ascii="Arial" w:hAnsi="Arial" w:cs="Arial"/>
          <w:sz w:val="22"/>
          <w:szCs w:val="22"/>
        </w:rPr>
        <w:t xml:space="preserve">CONCEPTO JURÍDICO </w:t>
      </w:r>
    </w:p>
    <w:p w:rsidR="00783573" w:rsidRPr="00184601" w:rsidRDefault="00783573" w:rsidP="00045E39">
      <w:pPr>
        <w:ind w:left="2832" w:hanging="2832"/>
        <w:jc w:val="both"/>
        <w:rPr>
          <w:rFonts w:ascii="Arial" w:hAnsi="Arial" w:cs="Arial"/>
          <w:sz w:val="22"/>
          <w:szCs w:val="22"/>
        </w:rPr>
      </w:pPr>
      <w:r w:rsidRPr="00184601">
        <w:rPr>
          <w:rFonts w:ascii="Arial" w:hAnsi="Arial" w:cs="Arial"/>
          <w:sz w:val="22"/>
          <w:szCs w:val="22"/>
        </w:rPr>
        <w:t xml:space="preserve"> </w:t>
      </w:r>
    </w:p>
    <w:p w:rsidR="006A332E" w:rsidRPr="00184601" w:rsidRDefault="006A332E" w:rsidP="00045E39">
      <w:pPr>
        <w:jc w:val="both"/>
        <w:rPr>
          <w:rFonts w:ascii="Arial" w:hAnsi="Arial" w:cs="Arial"/>
          <w:sz w:val="23"/>
          <w:szCs w:val="23"/>
        </w:rPr>
      </w:pPr>
    </w:p>
    <w:p w:rsidR="00783573" w:rsidRPr="00184601" w:rsidRDefault="00783573" w:rsidP="00045E39">
      <w:pPr>
        <w:spacing w:line="276" w:lineRule="auto"/>
        <w:jc w:val="both"/>
        <w:rPr>
          <w:rFonts w:ascii="Arial" w:hAnsi="Arial" w:cs="Arial"/>
          <w:sz w:val="22"/>
          <w:szCs w:val="22"/>
        </w:rPr>
      </w:pPr>
      <w:r w:rsidRPr="00184601">
        <w:rPr>
          <w:rFonts w:ascii="Arial" w:hAnsi="Arial" w:cs="Arial"/>
          <w:sz w:val="22"/>
          <w:szCs w:val="22"/>
        </w:rPr>
        <w:t>Respetados señores</w:t>
      </w:r>
      <w:r w:rsidRPr="00184601">
        <w:rPr>
          <w:rFonts w:ascii="Arial" w:hAnsi="Arial" w:cs="Arial"/>
          <w:b/>
          <w:sz w:val="22"/>
          <w:szCs w:val="22"/>
        </w:rPr>
        <w:t>:</w:t>
      </w:r>
    </w:p>
    <w:p w:rsidR="006A332E" w:rsidRPr="00184601" w:rsidRDefault="006A332E" w:rsidP="00045E39">
      <w:pPr>
        <w:spacing w:line="276" w:lineRule="auto"/>
        <w:jc w:val="both"/>
        <w:rPr>
          <w:rFonts w:ascii="Arial" w:hAnsi="Arial" w:cs="Arial"/>
          <w:sz w:val="22"/>
          <w:szCs w:val="22"/>
        </w:rPr>
      </w:pPr>
    </w:p>
    <w:p w:rsidR="00251CFB" w:rsidRDefault="00783573" w:rsidP="00045E39">
      <w:pPr>
        <w:spacing w:line="276" w:lineRule="auto"/>
        <w:jc w:val="both"/>
        <w:rPr>
          <w:rFonts w:ascii="Arial" w:hAnsi="Arial" w:cs="Arial"/>
          <w:sz w:val="22"/>
          <w:szCs w:val="22"/>
        </w:rPr>
      </w:pPr>
      <w:r w:rsidRPr="00184601">
        <w:rPr>
          <w:rFonts w:ascii="Arial" w:hAnsi="Arial" w:cs="Arial"/>
          <w:sz w:val="22"/>
          <w:szCs w:val="22"/>
        </w:rPr>
        <w:t xml:space="preserve">Con el fin de dar cumplimiento al contrato de prestación de servicios No. </w:t>
      </w:r>
      <w:r w:rsidR="003F6B60">
        <w:rPr>
          <w:rFonts w:ascii="Arial" w:hAnsi="Arial" w:cs="Arial"/>
          <w:sz w:val="22"/>
          <w:szCs w:val="22"/>
        </w:rPr>
        <w:t xml:space="preserve">223 </w:t>
      </w:r>
      <w:r w:rsidRPr="00184601">
        <w:rPr>
          <w:rFonts w:ascii="Arial" w:hAnsi="Arial" w:cs="Arial"/>
          <w:sz w:val="22"/>
          <w:szCs w:val="22"/>
        </w:rPr>
        <w:t>de 201</w:t>
      </w:r>
      <w:r w:rsidR="006A332E" w:rsidRPr="00184601">
        <w:rPr>
          <w:rFonts w:ascii="Arial" w:hAnsi="Arial" w:cs="Arial"/>
          <w:sz w:val="22"/>
          <w:szCs w:val="22"/>
        </w:rPr>
        <w:t>8</w:t>
      </w:r>
      <w:r w:rsidRPr="00184601">
        <w:rPr>
          <w:rFonts w:ascii="Arial" w:hAnsi="Arial" w:cs="Arial"/>
          <w:sz w:val="22"/>
          <w:szCs w:val="22"/>
        </w:rPr>
        <w:t xml:space="preserve">, por medio del presente emito concepto jurídico, para que sea tenido en cuenta por el comité de conciliación del Departamento de Arauca al momento de decidir, acerca de la conveniencia de conciliar las pretensiones de la parte convocante tendientes a que se </w:t>
      </w:r>
      <w:r w:rsidR="00251CFB">
        <w:rPr>
          <w:rFonts w:ascii="Arial" w:hAnsi="Arial" w:cs="Arial"/>
          <w:sz w:val="22"/>
          <w:szCs w:val="22"/>
        </w:rPr>
        <w:t xml:space="preserve">revoque o inaplique por ilegales, </w:t>
      </w:r>
      <w:r w:rsidR="007C069B">
        <w:rPr>
          <w:rFonts w:ascii="Arial" w:hAnsi="Arial" w:cs="Arial"/>
          <w:sz w:val="22"/>
          <w:szCs w:val="22"/>
        </w:rPr>
        <w:t>el acta de liquidación de fecha 19 de septiembre de 2016 y las Resoluciones No. 2614 y 2657 del 19 y 24 de</w:t>
      </w:r>
      <w:r w:rsidR="001D17F8">
        <w:rPr>
          <w:rFonts w:ascii="Arial" w:hAnsi="Arial" w:cs="Arial"/>
          <w:sz w:val="22"/>
          <w:szCs w:val="22"/>
        </w:rPr>
        <w:t xml:space="preserve"> agosto de 2015, mediante la cuales se declaró la ocurrencia del siniestro de estabilidad y calidad de la obra dentro del contrato No. 350 de 2013 y se resolvió un recurso de reposición, respectivamente.</w:t>
      </w:r>
    </w:p>
    <w:p w:rsidR="007C069B" w:rsidRDefault="007C069B" w:rsidP="00045E39">
      <w:pPr>
        <w:spacing w:line="276" w:lineRule="auto"/>
        <w:jc w:val="both"/>
        <w:rPr>
          <w:rFonts w:ascii="Arial" w:hAnsi="Arial" w:cs="Arial"/>
          <w:sz w:val="22"/>
          <w:szCs w:val="22"/>
        </w:rPr>
      </w:pPr>
    </w:p>
    <w:p w:rsidR="00783573" w:rsidRPr="00184601" w:rsidRDefault="00783573" w:rsidP="00045E39">
      <w:pPr>
        <w:spacing w:line="276" w:lineRule="auto"/>
        <w:jc w:val="both"/>
        <w:rPr>
          <w:rFonts w:ascii="Arial" w:hAnsi="Arial" w:cs="Arial"/>
          <w:sz w:val="22"/>
          <w:szCs w:val="22"/>
        </w:rPr>
      </w:pPr>
      <w:r w:rsidRPr="00184601">
        <w:rPr>
          <w:rFonts w:ascii="Arial" w:hAnsi="Arial" w:cs="Arial"/>
          <w:sz w:val="22"/>
          <w:szCs w:val="22"/>
        </w:rPr>
        <w:t xml:space="preserve">La cuantía la estima en la suma de </w:t>
      </w:r>
      <w:r w:rsidR="00EB59E0">
        <w:rPr>
          <w:rFonts w:ascii="Arial" w:hAnsi="Arial" w:cs="Arial"/>
          <w:sz w:val="22"/>
          <w:szCs w:val="22"/>
        </w:rPr>
        <w:t xml:space="preserve">CIENTO SETENTA Y SEIS </w:t>
      </w:r>
      <w:r w:rsidRPr="00184601">
        <w:rPr>
          <w:rFonts w:ascii="Arial" w:hAnsi="Arial" w:cs="Arial"/>
          <w:sz w:val="22"/>
          <w:szCs w:val="22"/>
        </w:rPr>
        <w:t xml:space="preserve">MILLONES </w:t>
      </w:r>
      <w:r w:rsidR="003833F1" w:rsidRPr="00184601">
        <w:rPr>
          <w:rFonts w:ascii="Arial" w:hAnsi="Arial" w:cs="Arial"/>
          <w:sz w:val="22"/>
          <w:szCs w:val="22"/>
        </w:rPr>
        <w:t xml:space="preserve">SEISCIENTOS SETENTA Y </w:t>
      </w:r>
      <w:r w:rsidR="00EB59E0">
        <w:rPr>
          <w:rFonts w:ascii="Arial" w:hAnsi="Arial" w:cs="Arial"/>
          <w:sz w:val="22"/>
          <w:szCs w:val="22"/>
        </w:rPr>
        <w:t xml:space="preserve">TRES </w:t>
      </w:r>
      <w:r w:rsidRPr="00184601">
        <w:rPr>
          <w:rFonts w:ascii="Arial" w:hAnsi="Arial" w:cs="Arial"/>
          <w:sz w:val="22"/>
          <w:szCs w:val="22"/>
        </w:rPr>
        <w:t xml:space="preserve">MIL </w:t>
      </w:r>
      <w:r w:rsidR="00EB59E0">
        <w:rPr>
          <w:rFonts w:ascii="Arial" w:hAnsi="Arial" w:cs="Arial"/>
          <w:sz w:val="22"/>
          <w:szCs w:val="22"/>
        </w:rPr>
        <w:t xml:space="preserve">QUINIENTOS CINCUENTA Y SEIS </w:t>
      </w:r>
      <w:r w:rsidRPr="00184601">
        <w:rPr>
          <w:rFonts w:ascii="Arial" w:hAnsi="Arial" w:cs="Arial"/>
          <w:sz w:val="22"/>
          <w:szCs w:val="22"/>
        </w:rPr>
        <w:t xml:space="preserve">PESOS CON </w:t>
      </w:r>
      <w:r w:rsidR="00EB59E0">
        <w:rPr>
          <w:rFonts w:ascii="Arial" w:hAnsi="Arial" w:cs="Arial"/>
          <w:sz w:val="22"/>
          <w:szCs w:val="22"/>
        </w:rPr>
        <w:t xml:space="preserve">OCHO </w:t>
      </w:r>
      <w:r w:rsidR="003833F1" w:rsidRPr="00184601">
        <w:rPr>
          <w:rFonts w:ascii="Arial" w:hAnsi="Arial" w:cs="Arial"/>
          <w:sz w:val="22"/>
          <w:szCs w:val="22"/>
        </w:rPr>
        <w:t xml:space="preserve">CENTAVOS </w:t>
      </w:r>
      <w:r w:rsidRPr="00184601">
        <w:rPr>
          <w:rFonts w:ascii="Arial" w:hAnsi="Arial" w:cs="Arial"/>
          <w:sz w:val="22"/>
          <w:szCs w:val="22"/>
        </w:rPr>
        <w:t>($</w:t>
      </w:r>
      <w:r w:rsidR="00EB59E0">
        <w:rPr>
          <w:rFonts w:ascii="Arial" w:hAnsi="Arial" w:cs="Arial"/>
          <w:sz w:val="22"/>
          <w:szCs w:val="22"/>
        </w:rPr>
        <w:t>176.673.556,8</w:t>
      </w:r>
      <w:r w:rsidRPr="00184601">
        <w:rPr>
          <w:rFonts w:ascii="Arial" w:hAnsi="Arial" w:cs="Arial"/>
          <w:sz w:val="22"/>
          <w:szCs w:val="22"/>
        </w:rPr>
        <w:t>).</w:t>
      </w:r>
    </w:p>
    <w:p w:rsidR="00783573" w:rsidRPr="00184601" w:rsidRDefault="00783573" w:rsidP="00045E39">
      <w:pPr>
        <w:jc w:val="both"/>
        <w:rPr>
          <w:rFonts w:ascii="Arial" w:hAnsi="Arial" w:cs="Arial"/>
          <w:sz w:val="24"/>
          <w:szCs w:val="24"/>
        </w:rPr>
      </w:pPr>
    </w:p>
    <w:p w:rsidR="00783573" w:rsidRPr="003D5E11" w:rsidRDefault="00783573" w:rsidP="003D5E11">
      <w:pPr>
        <w:pStyle w:val="Prrafodelista"/>
        <w:numPr>
          <w:ilvl w:val="0"/>
          <w:numId w:val="5"/>
        </w:numPr>
        <w:jc w:val="both"/>
        <w:rPr>
          <w:rFonts w:ascii="Arial" w:hAnsi="Arial" w:cs="Arial"/>
          <w:b/>
          <w:sz w:val="22"/>
          <w:szCs w:val="22"/>
        </w:rPr>
      </w:pPr>
      <w:r w:rsidRPr="003D5E11">
        <w:rPr>
          <w:rFonts w:ascii="Arial" w:hAnsi="Arial" w:cs="Arial"/>
          <w:b/>
          <w:sz w:val="22"/>
          <w:szCs w:val="22"/>
        </w:rPr>
        <w:t>LOS HECHOS</w:t>
      </w:r>
    </w:p>
    <w:p w:rsidR="003D5E11" w:rsidRDefault="003D5E11" w:rsidP="003D5E11">
      <w:pPr>
        <w:jc w:val="both"/>
        <w:rPr>
          <w:rFonts w:ascii="Arial" w:hAnsi="Arial" w:cs="Arial"/>
          <w:b/>
          <w:sz w:val="22"/>
          <w:szCs w:val="22"/>
        </w:rPr>
      </w:pPr>
    </w:p>
    <w:p w:rsidR="00E97FF6" w:rsidRDefault="003D5E11" w:rsidP="003D5E11">
      <w:pPr>
        <w:jc w:val="both"/>
        <w:rPr>
          <w:rFonts w:ascii="Arial" w:hAnsi="Arial" w:cs="Arial"/>
          <w:sz w:val="22"/>
          <w:szCs w:val="22"/>
        </w:rPr>
      </w:pPr>
      <w:r w:rsidRPr="003D5E11">
        <w:rPr>
          <w:rFonts w:ascii="Arial" w:hAnsi="Arial" w:cs="Arial"/>
          <w:sz w:val="22"/>
          <w:szCs w:val="22"/>
        </w:rPr>
        <w:t>Conforme</w:t>
      </w:r>
      <w:r>
        <w:rPr>
          <w:rFonts w:ascii="Arial" w:hAnsi="Arial" w:cs="Arial"/>
          <w:sz w:val="22"/>
          <w:szCs w:val="22"/>
        </w:rPr>
        <w:t xml:space="preserve"> a lo expuesto por el convocante se resumen de la siguiente manera: </w:t>
      </w:r>
    </w:p>
    <w:p w:rsidR="003D5E11" w:rsidRPr="003D5E11" w:rsidRDefault="003D5E11" w:rsidP="003D5E11">
      <w:pPr>
        <w:jc w:val="both"/>
        <w:rPr>
          <w:rFonts w:ascii="Arial" w:hAnsi="Arial" w:cs="Arial"/>
          <w:sz w:val="22"/>
          <w:szCs w:val="22"/>
        </w:rPr>
      </w:pPr>
      <w:r w:rsidRPr="003D5E11">
        <w:rPr>
          <w:rFonts w:ascii="Arial" w:hAnsi="Arial" w:cs="Arial"/>
          <w:sz w:val="22"/>
          <w:szCs w:val="22"/>
        </w:rPr>
        <w:t xml:space="preserve"> </w:t>
      </w:r>
    </w:p>
    <w:p w:rsidR="00783573" w:rsidRPr="00184601" w:rsidRDefault="00783573" w:rsidP="00045E39">
      <w:pPr>
        <w:jc w:val="both"/>
        <w:rPr>
          <w:rFonts w:ascii="Arial" w:hAnsi="Arial" w:cs="Arial"/>
          <w:szCs w:val="24"/>
        </w:rPr>
      </w:pPr>
    </w:p>
    <w:p w:rsidR="005C0616" w:rsidRDefault="00070934" w:rsidP="00045E39">
      <w:pPr>
        <w:pStyle w:val="Prrafodelista"/>
        <w:numPr>
          <w:ilvl w:val="0"/>
          <w:numId w:val="4"/>
        </w:numPr>
        <w:ind w:left="284" w:hanging="284"/>
        <w:jc w:val="both"/>
        <w:rPr>
          <w:rFonts w:ascii="Arial" w:hAnsi="Arial" w:cs="Arial"/>
          <w:szCs w:val="24"/>
        </w:rPr>
      </w:pPr>
      <w:r>
        <w:rPr>
          <w:rFonts w:ascii="Arial" w:hAnsi="Arial" w:cs="Arial"/>
          <w:szCs w:val="24"/>
        </w:rPr>
        <w:t>Que el Departamento de Arauca, celebró con el CONSORCIO VITAR, el contrato de obra No. 350 de 2016, cuyo objeto fue: “MEJORAMIENTO Y MANTENIMIENTO DE LA CARRETERA TAME – ARAUCA EN EL DEPARTAMENTO DE ARAUCA SECTORES BETOYES – PUEBLO NUEVO – PANAMA Y LA ANTIOQUEÑA PUENTE INTERNACIONAL JOSÉ ANTONIO PAEZ, RUTA 66 TRAMO 6605 Y 6606”, por un valor de $1.986.546.540,95 y un plazo de cinco (5) meses, dándose inicio el 21 de octubre de 2013.</w:t>
      </w:r>
    </w:p>
    <w:p w:rsidR="00070934" w:rsidRPr="00070934" w:rsidRDefault="00070934" w:rsidP="00070934">
      <w:pPr>
        <w:jc w:val="both"/>
        <w:rPr>
          <w:rFonts w:ascii="Arial" w:hAnsi="Arial" w:cs="Arial"/>
          <w:szCs w:val="24"/>
        </w:rPr>
      </w:pPr>
    </w:p>
    <w:p w:rsidR="00070934" w:rsidRDefault="00070934" w:rsidP="00045E39">
      <w:pPr>
        <w:pStyle w:val="Prrafodelista"/>
        <w:numPr>
          <w:ilvl w:val="0"/>
          <w:numId w:val="4"/>
        </w:numPr>
        <w:ind w:left="284" w:hanging="284"/>
        <w:jc w:val="both"/>
        <w:rPr>
          <w:rFonts w:ascii="Arial" w:hAnsi="Arial" w:cs="Arial"/>
          <w:szCs w:val="24"/>
        </w:rPr>
      </w:pPr>
      <w:r w:rsidRPr="00070934">
        <w:rPr>
          <w:rFonts w:ascii="Arial" w:hAnsi="Arial" w:cs="Arial"/>
          <w:szCs w:val="24"/>
        </w:rPr>
        <w:t>El 24  de marzo de 2014, el contrato fue recibido a satisfacción, según acta de la misma fecha.</w:t>
      </w:r>
    </w:p>
    <w:p w:rsidR="00070934" w:rsidRPr="00070934" w:rsidRDefault="00070934" w:rsidP="00070934">
      <w:pPr>
        <w:pStyle w:val="Prrafodelista"/>
        <w:rPr>
          <w:rFonts w:ascii="Arial" w:hAnsi="Arial" w:cs="Arial"/>
          <w:szCs w:val="24"/>
        </w:rPr>
      </w:pPr>
    </w:p>
    <w:p w:rsidR="00070934" w:rsidRDefault="00070934" w:rsidP="00045E39">
      <w:pPr>
        <w:pStyle w:val="Prrafodelista"/>
        <w:numPr>
          <w:ilvl w:val="0"/>
          <w:numId w:val="4"/>
        </w:numPr>
        <w:ind w:left="284" w:hanging="284"/>
        <w:jc w:val="both"/>
        <w:rPr>
          <w:rFonts w:ascii="Arial" w:hAnsi="Arial" w:cs="Arial"/>
          <w:szCs w:val="24"/>
        </w:rPr>
      </w:pPr>
      <w:r>
        <w:rPr>
          <w:rFonts w:ascii="Arial" w:hAnsi="Arial" w:cs="Arial"/>
          <w:szCs w:val="24"/>
        </w:rPr>
        <w:lastRenderedPageBreak/>
        <w:t>Posteriormente mediante informe de interventoría de noviembre de 2014 remitido al Consorcio Vitar, mediante comunicación 2015080004527-2 de fecha 02 de marzo de 2015, se informa las presuntas fallas</w:t>
      </w:r>
      <w:r w:rsidR="004902BC">
        <w:rPr>
          <w:rFonts w:ascii="Arial" w:hAnsi="Arial" w:cs="Arial"/>
          <w:szCs w:val="24"/>
        </w:rPr>
        <w:t xml:space="preserve"> técnicas sobre la obra objeto del contrato de obra 350 de 2013 y la administración departamental dio inicio al proceso de declaratoria de siniestro de estabilidad de la obra.</w:t>
      </w:r>
    </w:p>
    <w:p w:rsidR="004902BC" w:rsidRPr="004902BC" w:rsidRDefault="004902BC" w:rsidP="004902BC">
      <w:pPr>
        <w:pStyle w:val="Prrafodelista"/>
        <w:rPr>
          <w:rFonts w:ascii="Arial" w:hAnsi="Arial" w:cs="Arial"/>
          <w:szCs w:val="24"/>
        </w:rPr>
      </w:pPr>
    </w:p>
    <w:p w:rsidR="004902BC" w:rsidRDefault="004902BC" w:rsidP="00045E39">
      <w:pPr>
        <w:pStyle w:val="Prrafodelista"/>
        <w:numPr>
          <w:ilvl w:val="0"/>
          <w:numId w:val="4"/>
        </w:numPr>
        <w:ind w:left="284" w:hanging="284"/>
        <w:jc w:val="both"/>
        <w:rPr>
          <w:rFonts w:ascii="Arial" w:hAnsi="Arial" w:cs="Arial"/>
          <w:szCs w:val="24"/>
        </w:rPr>
      </w:pPr>
      <w:r>
        <w:rPr>
          <w:rFonts w:ascii="Arial" w:hAnsi="Arial" w:cs="Arial"/>
          <w:szCs w:val="24"/>
        </w:rPr>
        <w:t>El 13 de marzo de 2015, se llevó a cabo audiencia para declaratoria de siniestro, dirigida por el Secretario de Infraestructura Física Departamental de la época</w:t>
      </w:r>
      <w:r w:rsidR="00AA457E">
        <w:rPr>
          <w:rFonts w:ascii="Arial" w:hAnsi="Arial" w:cs="Arial"/>
          <w:szCs w:val="24"/>
        </w:rPr>
        <w:t>, en la que el representante del consorcio Vitar, solicito inspección al sitio de las presuntas fallas, la cuantificación de las fallas, el tipo de reparación y se determinara con exactitud cada tra</w:t>
      </w:r>
      <w:r w:rsidR="00487F0A">
        <w:rPr>
          <w:rFonts w:ascii="Arial" w:hAnsi="Arial" w:cs="Arial"/>
          <w:szCs w:val="24"/>
        </w:rPr>
        <w:t>m</w:t>
      </w:r>
      <w:r w:rsidR="00AA457E">
        <w:rPr>
          <w:rFonts w:ascii="Arial" w:hAnsi="Arial" w:cs="Arial"/>
          <w:szCs w:val="24"/>
        </w:rPr>
        <w:t>o.</w:t>
      </w:r>
    </w:p>
    <w:p w:rsidR="00487F0A" w:rsidRPr="00487F0A" w:rsidRDefault="00487F0A" w:rsidP="00487F0A">
      <w:pPr>
        <w:pStyle w:val="Prrafodelista"/>
        <w:rPr>
          <w:rFonts w:ascii="Arial" w:hAnsi="Arial" w:cs="Arial"/>
          <w:szCs w:val="24"/>
        </w:rPr>
      </w:pPr>
    </w:p>
    <w:p w:rsidR="00E02D5E" w:rsidRDefault="00E02D5E" w:rsidP="00045E39">
      <w:pPr>
        <w:pStyle w:val="Prrafodelista"/>
        <w:numPr>
          <w:ilvl w:val="0"/>
          <w:numId w:val="4"/>
        </w:numPr>
        <w:ind w:left="284" w:hanging="284"/>
        <w:jc w:val="both"/>
        <w:rPr>
          <w:rFonts w:ascii="Arial" w:hAnsi="Arial" w:cs="Arial"/>
          <w:szCs w:val="24"/>
        </w:rPr>
      </w:pPr>
      <w:r>
        <w:rPr>
          <w:rFonts w:ascii="Arial" w:hAnsi="Arial" w:cs="Arial"/>
          <w:szCs w:val="24"/>
        </w:rPr>
        <w:t>Reanudada la audiencia y con base en el informe presentado por la interventoría, el Secretario de Infraestructura Física Departamental, mediante Resolución No. 2614 del 19 de agosto de 2015, declaró el siniestro de estabilidad de la obra.</w:t>
      </w:r>
    </w:p>
    <w:p w:rsidR="00E02D5E" w:rsidRPr="00E02D5E" w:rsidRDefault="00E02D5E" w:rsidP="00E02D5E">
      <w:pPr>
        <w:pStyle w:val="Prrafodelista"/>
        <w:rPr>
          <w:rFonts w:ascii="Arial" w:hAnsi="Arial" w:cs="Arial"/>
          <w:szCs w:val="24"/>
        </w:rPr>
      </w:pPr>
    </w:p>
    <w:p w:rsidR="00E02D5E" w:rsidRPr="0056353F" w:rsidRDefault="00E02D5E" w:rsidP="00045E39">
      <w:pPr>
        <w:pStyle w:val="Prrafodelista"/>
        <w:numPr>
          <w:ilvl w:val="0"/>
          <w:numId w:val="4"/>
        </w:numPr>
        <w:ind w:left="284" w:hanging="284"/>
        <w:jc w:val="both"/>
        <w:rPr>
          <w:rFonts w:ascii="Arial" w:hAnsi="Arial" w:cs="Arial"/>
          <w:szCs w:val="24"/>
        </w:rPr>
      </w:pPr>
      <w:r w:rsidRPr="0056353F">
        <w:rPr>
          <w:rFonts w:ascii="Arial" w:hAnsi="Arial" w:cs="Arial"/>
          <w:szCs w:val="24"/>
        </w:rPr>
        <w:t>Dentro de la oportunidad, el representante del Consorcio Vitar, formula recurso de reposición  contra la decisión adoptada, recurso este que se desatara mediante la Resolución No. 2657 del 24 de agosto de 2015, la cual no repone la decisión inicialmente adoptada.</w:t>
      </w:r>
    </w:p>
    <w:p w:rsidR="00357198" w:rsidRPr="00184601" w:rsidRDefault="00357198" w:rsidP="00045E39">
      <w:pPr>
        <w:pStyle w:val="Prrafodelista"/>
        <w:jc w:val="both"/>
        <w:rPr>
          <w:rFonts w:ascii="Arial" w:hAnsi="Arial" w:cs="Arial"/>
          <w:szCs w:val="24"/>
        </w:rPr>
      </w:pPr>
    </w:p>
    <w:p w:rsidR="00783573" w:rsidRPr="00184601" w:rsidRDefault="00783573" w:rsidP="00045E39">
      <w:pPr>
        <w:ind w:right="51"/>
        <w:jc w:val="both"/>
        <w:rPr>
          <w:rFonts w:ascii="Arial" w:hAnsi="Arial" w:cs="Arial"/>
          <w:b/>
          <w:color w:val="FF0000"/>
          <w:szCs w:val="24"/>
        </w:rPr>
      </w:pPr>
    </w:p>
    <w:p w:rsidR="00783573" w:rsidRPr="00963CD4" w:rsidRDefault="00CC0719" w:rsidP="00045E39">
      <w:pPr>
        <w:ind w:right="51"/>
        <w:jc w:val="both"/>
        <w:rPr>
          <w:rFonts w:ascii="Arial" w:hAnsi="Arial" w:cs="Arial"/>
          <w:b/>
          <w:sz w:val="22"/>
          <w:szCs w:val="22"/>
        </w:rPr>
      </w:pPr>
      <w:r w:rsidRPr="00963CD4">
        <w:rPr>
          <w:rFonts w:ascii="Arial" w:hAnsi="Arial" w:cs="Arial"/>
          <w:b/>
          <w:sz w:val="22"/>
          <w:szCs w:val="22"/>
        </w:rPr>
        <w:t>II. EL CONCEPTO DE LA VIOLACIÓN</w:t>
      </w:r>
    </w:p>
    <w:p w:rsidR="00CC0719" w:rsidRPr="0056353F" w:rsidRDefault="00CC0719" w:rsidP="00045E39">
      <w:pPr>
        <w:ind w:right="51"/>
        <w:jc w:val="both"/>
        <w:rPr>
          <w:rFonts w:ascii="Arial" w:hAnsi="Arial" w:cs="Arial"/>
          <w:color w:val="FF0000"/>
          <w:sz w:val="22"/>
          <w:szCs w:val="22"/>
        </w:rPr>
      </w:pPr>
    </w:p>
    <w:p w:rsidR="00FB286F" w:rsidRPr="00FB286F" w:rsidRDefault="000F03DE" w:rsidP="000F03DE">
      <w:pPr>
        <w:spacing w:line="276" w:lineRule="auto"/>
        <w:jc w:val="both"/>
        <w:rPr>
          <w:rFonts w:ascii="Arial" w:hAnsi="Arial" w:cs="Arial"/>
          <w:sz w:val="22"/>
          <w:szCs w:val="22"/>
        </w:rPr>
      </w:pPr>
      <w:r w:rsidRPr="00FB286F">
        <w:rPr>
          <w:rFonts w:ascii="Arial" w:hAnsi="Arial" w:cs="Arial"/>
          <w:sz w:val="22"/>
          <w:szCs w:val="22"/>
        </w:rPr>
        <w:t>A través de apoderado judicial, el Consorcio Vitar s</w:t>
      </w:r>
      <w:r w:rsidR="006C5432" w:rsidRPr="00FB286F">
        <w:rPr>
          <w:rFonts w:ascii="Arial" w:hAnsi="Arial" w:cs="Arial"/>
          <w:sz w:val="22"/>
          <w:szCs w:val="22"/>
        </w:rPr>
        <w:t xml:space="preserve">olicita </w:t>
      </w:r>
      <w:r w:rsidRPr="00FB286F">
        <w:rPr>
          <w:rFonts w:ascii="Arial" w:hAnsi="Arial" w:cs="Arial"/>
          <w:sz w:val="22"/>
          <w:szCs w:val="22"/>
        </w:rPr>
        <w:t>se revoque o inaplique por ilegales, el acta de liquidación de fecha 19 de septiembre de 2016 y las Resoluciones No. 2614 y 2657 del 19 y 24 de agosto de 2015, mediante la cuales se declaró la ocurrencia del siniestro de estabilidad y calidad de la obra dentro del contrato No. 350 de 2013 y se resolvió un recurso</w:t>
      </w:r>
      <w:r w:rsidR="00FB286F" w:rsidRPr="00FB286F">
        <w:rPr>
          <w:rFonts w:ascii="Arial" w:hAnsi="Arial" w:cs="Arial"/>
          <w:sz w:val="22"/>
          <w:szCs w:val="22"/>
        </w:rPr>
        <w:t xml:space="preserve"> de reposición, respectivamente, al adolecer de los siguientes vicios de nulidad: </w:t>
      </w:r>
      <w:r w:rsidR="00FB286F" w:rsidRPr="00FB286F">
        <w:rPr>
          <w:rFonts w:ascii="Arial" w:hAnsi="Arial" w:cs="Arial"/>
          <w:b/>
          <w:sz w:val="22"/>
          <w:szCs w:val="22"/>
        </w:rPr>
        <w:t>I</w:t>
      </w:r>
      <w:r w:rsidR="00FB286F" w:rsidRPr="00FB286F">
        <w:rPr>
          <w:rFonts w:ascii="Arial" w:hAnsi="Arial" w:cs="Arial"/>
          <w:sz w:val="22"/>
          <w:szCs w:val="22"/>
        </w:rPr>
        <w:t xml:space="preserve">. Infracción de las normas en que debía fundarse, expedición irregular y falsa motivación; </w:t>
      </w:r>
      <w:r w:rsidR="00FB286F" w:rsidRPr="00FB286F">
        <w:rPr>
          <w:rFonts w:ascii="Arial" w:hAnsi="Arial" w:cs="Arial"/>
          <w:b/>
          <w:sz w:val="22"/>
          <w:szCs w:val="22"/>
        </w:rPr>
        <w:t>II.</w:t>
      </w:r>
      <w:r w:rsidR="00FB286F" w:rsidRPr="00FB286F">
        <w:rPr>
          <w:rFonts w:ascii="Arial" w:hAnsi="Arial" w:cs="Arial"/>
          <w:sz w:val="22"/>
          <w:szCs w:val="22"/>
        </w:rPr>
        <w:t xml:space="preserve"> Expedición de los actos en forma irregular, con desconocimiento del derecho de defensa, y en consecuencia del debido proceso constitucional y </w:t>
      </w:r>
      <w:r w:rsidR="00FB286F" w:rsidRPr="00FB286F">
        <w:rPr>
          <w:rFonts w:ascii="Arial" w:hAnsi="Arial" w:cs="Arial"/>
          <w:b/>
          <w:sz w:val="22"/>
          <w:szCs w:val="22"/>
        </w:rPr>
        <w:t>III:</w:t>
      </w:r>
      <w:r w:rsidR="00FB286F" w:rsidRPr="00FB286F">
        <w:rPr>
          <w:rFonts w:ascii="Arial" w:hAnsi="Arial" w:cs="Arial"/>
          <w:sz w:val="22"/>
          <w:szCs w:val="22"/>
        </w:rPr>
        <w:t xml:space="preserve"> Expedición de los actos administrativos, sin competencia por parte del funcionario que los profirió</w:t>
      </w:r>
      <w:r w:rsidR="000F027E">
        <w:rPr>
          <w:rFonts w:ascii="Arial" w:hAnsi="Arial" w:cs="Arial"/>
          <w:sz w:val="22"/>
          <w:szCs w:val="22"/>
        </w:rPr>
        <w:t>.</w:t>
      </w:r>
    </w:p>
    <w:p w:rsidR="00783573" w:rsidRDefault="00783573" w:rsidP="00045E39">
      <w:pPr>
        <w:tabs>
          <w:tab w:val="left" w:pos="6946"/>
        </w:tabs>
        <w:jc w:val="both"/>
        <w:rPr>
          <w:rFonts w:ascii="Arial" w:hAnsi="Arial" w:cs="Arial"/>
          <w:b/>
          <w:sz w:val="22"/>
          <w:szCs w:val="22"/>
        </w:rPr>
      </w:pPr>
    </w:p>
    <w:p w:rsidR="000F027E" w:rsidRDefault="000F027E" w:rsidP="000F027E">
      <w:pPr>
        <w:widowControl w:val="0"/>
        <w:autoSpaceDE w:val="0"/>
        <w:autoSpaceDN w:val="0"/>
        <w:adjustRightInd w:val="0"/>
        <w:jc w:val="both"/>
        <w:rPr>
          <w:rFonts w:ascii="Arial" w:hAnsi="Arial" w:cs="Arial"/>
          <w:sz w:val="22"/>
          <w:szCs w:val="22"/>
          <w:lang w:val="es-CO"/>
        </w:rPr>
      </w:pPr>
      <w:r>
        <w:rPr>
          <w:rFonts w:ascii="Arial" w:hAnsi="Arial" w:cs="Arial"/>
          <w:sz w:val="22"/>
          <w:szCs w:val="22"/>
          <w:lang w:val="es-CO"/>
        </w:rPr>
        <w:t>Se ha de acotar que l</w:t>
      </w:r>
      <w:r w:rsidRPr="000F027E">
        <w:rPr>
          <w:rFonts w:ascii="Arial" w:hAnsi="Arial" w:cs="Arial"/>
          <w:sz w:val="22"/>
          <w:szCs w:val="22"/>
          <w:lang w:val="es-CO"/>
        </w:rPr>
        <w:t>as Resoluciones 2614 y 2657 de 2015</w:t>
      </w:r>
      <w:r w:rsidR="00FF2C31">
        <w:rPr>
          <w:rFonts w:ascii="Arial" w:hAnsi="Arial" w:cs="Arial"/>
          <w:sz w:val="22"/>
          <w:szCs w:val="22"/>
          <w:lang w:val="es-CO"/>
        </w:rPr>
        <w:t xml:space="preserve">, </w:t>
      </w:r>
      <w:r w:rsidRPr="000F027E">
        <w:rPr>
          <w:rFonts w:ascii="Arial" w:hAnsi="Arial" w:cs="Arial"/>
          <w:sz w:val="22"/>
          <w:szCs w:val="22"/>
          <w:lang w:val="es-CO"/>
        </w:rPr>
        <w:t>se expiden con fundamento en lo establecido el artículo 86 de la Ley 1474 de 2011 y la Resolución 2379 de 2011</w:t>
      </w:r>
      <w:r w:rsidR="00FF2C31">
        <w:rPr>
          <w:rFonts w:ascii="Arial" w:hAnsi="Arial" w:cs="Arial"/>
          <w:sz w:val="22"/>
          <w:szCs w:val="22"/>
          <w:lang w:val="es-CO"/>
        </w:rPr>
        <w:t xml:space="preserve">, </w:t>
      </w:r>
      <w:r w:rsidRPr="000F027E">
        <w:rPr>
          <w:rFonts w:ascii="Arial" w:hAnsi="Arial" w:cs="Arial"/>
          <w:sz w:val="22"/>
          <w:szCs w:val="22"/>
          <w:lang w:val="es-CO"/>
        </w:rPr>
        <w:t xml:space="preserve"> proferida por el Gobernador del Departamento de Arauca POR LA CUAL SE ESTABLECEN LAS CAUSALES, CUANTIAS Y PROCEDIMIENTOS PARA HACER EFECTIVA LA CLAUSULA SOBRE MULTAS O LA DECLARATORIA DE INCUMPLIMIENTO EN LOS CONTRATOS QUE CELEBRE EL DEPARTAMENTO DE ARAUCA.</w:t>
      </w:r>
    </w:p>
    <w:p w:rsidR="000F027E" w:rsidRPr="000F027E" w:rsidRDefault="000F027E" w:rsidP="000F027E">
      <w:pPr>
        <w:widowControl w:val="0"/>
        <w:autoSpaceDE w:val="0"/>
        <w:autoSpaceDN w:val="0"/>
        <w:adjustRightInd w:val="0"/>
        <w:jc w:val="both"/>
        <w:rPr>
          <w:rFonts w:ascii="Arial" w:hAnsi="Arial" w:cs="Arial"/>
          <w:sz w:val="22"/>
          <w:szCs w:val="22"/>
          <w:lang w:val="es-CO"/>
        </w:rPr>
      </w:pPr>
    </w:p>
    <w:p w:rsidR="000F027E" w:rsidRPr="000F027E" w:rsidRDefault="000F027E" w:rsidP="000F027E">
      <w:pPr>
        <w:widowControl w:val="0"/>
        <w:autoSpaceDE w:val="0"/>
        <w:autoSpaceDN w:val="0"/>
        <w:adjustRightInd w:val="0"/>
        <w:jc w:val="both"/>
        <w:rPr>
          <w:rFonts w:ascii="Arial" w:hAnsi="Arial" w:cs="Arial"/>
          <w:sz w:val="22"/>
          <w:szCs w:val="22"/>
          <w:lang w:val="es-CO"/>
        </w:rPr>
      </w:pPr>
      <w:r w:rsidRPr="000F027E">
        <w:rPr>
          <w:rFonts w:ascii="Arial" w:hAnsi="Arial" w:cs="Arial"/>
          <w:sz w:val="22"/>
          <w:szCs w:val="22"/>
          <w:lang w:val="es-CO"/>
        </w:rPr>
        <w:t>EL DEPARTAMENTO DE ARAUCA no reguló ni tenia regulado expresamente para la época de los hechos (expedición de las Resoluciones 2614 y 2657 de 2015) el procedimiento para declarar un SINIESTRO y hacer efectiva la Garantía Única en el amparo que corresponde, ni el mismo, estaba delegado en cabeza de un servidor público del nivel Directivo de la Entidad.</w:t>
      </w:r>
    </w:p>
    <w:p w:rsidR="000F027E" w:rsidRPr="000F027E" w:rsidRDefault="000F027E" w:rsidP="000F027E">
      <w:pPr>
        <w:widowControl w:val="0"/>
        <w:autoSpaceDE w:val="0"/>
        <w:autoSpaceDN w:val="0"/>
        <w:adjustRightInd w:val="0"/>
        <w:jc w:val="both"/>
        <w:rPr>
          <w:rFonts w:ascii="Arial" w:hAnsi="Arial" w:cs="Arial"/>
          <w:sz w:val="22"/>
          <w:szCs w:val="22"/>
          <w:lang w:val="es-CO"/>
        </w:rPr>
      </w:pPr>
      <w:r w:rsidRPr="000F027E">
        <w:rPr>
          <w:rFonts w:ascii="Arial" w:hAnsi="Arial" w:cs="Arial"/>
          <w:sz w:val="22"/>
          <w:szCs w:val="22"/>
          <w:lang w:val="es-CO"/>
        </w:rPr>
        <w:t xml:space="preserve">Se observa que las Resoluciones No. 2614 de 2015 POR LA CUAL SE DECLARA UN </w:t>
      </w:r>
      <w:r w:rsidRPr="000F027E">
        <w:rPr>
          <w:rFonts w:ascii="Arial" w:hAnsi="Arial" w:cs="Arial"/>
          <w:sz w:val="22"/>
          <w:szCs w:val="22"/>
          <w:lang w:val="es-CO"/>
        </w:rPr>
        <w:lastRenderedPageBreak/>
        <w:t>SINIESTRO y No. 2557 de 2015 POR EL CUAL SE RESUELVE UN RECURSO DE RESPOSICION, se expiden bajo los alcances de la Resolución 2379 de 2011, acto administrativo que regula el procedimiento sancionatorio para la imposición de MULTAS y DECLARATORIA DE INCUMPLIMIENTO (Efectividad de la Cláusula Penal Pecuniaria), sin incluir el proceso de DECLARATORIA DEL SINIESTRO, no obstante se tomó como referente por parte de la Entidad.</w:t>
      </w:r>
    </w:p>
    <w:p w:rsidR="000F027E" w:rsidRPr="000F027E" w:rsidRDefault="000F027E" w:rsidP="000F027E">
      <w:pPr>
        <w:widowControl w:val="0"/>
        <w:autoSpaceDE w:val="0"/>
        <w:autoSpaceDN w:val="0"/>
        <w:adjustRightInd w:val="0"/>
        <w:jc w:val="both"/>
        <w:rPr>
          <w:rFonts w:ascii="Arial" w:hAnsi="Arial" w:cs="Arial"/>
          <w:sz w:val="22"/>
          <w:szCs w:val="22"/>
          <w:lang w:val="es-CO"/>
        </w:rPr>
      </w:pPr>
    </w:p>
    <w:p w:rsidR="000F027E" w:rsidRPr="000F027E" w:rsidRDefault="000F027E" w:rsidP="000F027E">
      <w:pPr>
        <w:widowControl w:val="0"/>
        <w:autoSpaceDE w:val="0"/>
        <w:autoSpaceDN w:val="0"/>
        <w:adjustRightInd w:val="0"/>
        <w:jc w:val="both"/>
        <w:rPr>
          <w:rFonts w:ascii="Arial" w:hAnsi="Arial" w:cs="Arial"/>
          <w:sz w:val="22"/>
          <w:szCs w:val="22"/>
          <w:lang w:val="es-CO"/>
        </w:rPr>
      </w:pPr>
      <w:r w:rsidRPr="000F027E">
        <w:rPr>
          <w:rFonts w:ascii="Arial" w:hAnsi="Arial" w:cs="Arial"/>
          <w:sz w:val="22"/>
          <w:szCs w:val="22"/>
          <w:lang w:val="es-CO"/>
        </w:rPr>
        <w:t xml:space="preserve">En dicho Acto Administrativo se delega expresamente en el Secretario de Infraestructura el trámite de las siguientes etapas:  </w:t>
      </w:r>
    </w:p>
    <w:p w:rsidR="000F027E" w:rsidRPr="000F027E" w:rsidRDefault="000F027E" w:rsidP="000F027E">
      <w:pPr>
        <w:widowControl w:val="0"/>
        <w:autoSpaceDE w:val="0"/>
        <w:autoSpaceDN w:val="0"/>
        <w:adjustRightInd w:val="0"/>
        <w:jc w:val="both"/>
        <w:rPr>
          <w:rFonts w:ascii="Arial" w:hAnsi="Arial" w:cs="Arial"/>
          <w:sz w:val="22"/>
          <w:szCs w:val="22"/>
          <w:lang w:val="es-CO"/>
        </w:rPr>
      </w:pPr>
    </w:p>
    <w:p w:rsidR="000F027E" w:rsidRPr="000F027E" w:rsidRDefault="000F027E" w:rsidP="000F027E">
      <w:pPr>
        <w:pStyle w:val="Prrafodelista"/>
        <w:widowControl w:val="0"/>
        <w:numPr>
          <w:ilvl w:val="0"/>
          <w:numId w:val="8"/>
        </w:numPr>
        <w:autoSpaceDE w:val="0"/>
        <w:autoSpaceDN w:val="0"/>
        <w:adjustRightInd w:val="0"/>
        <w:jc w:val="both"/>
        <w:rPr>
          <w:rFonts w:ascii="Arial" w:hAnsi="Arial" w:cs="Arial"/>
          <w:sz w:val="22"/>
          <w:szCs w:val="22"/>
          <w:lang w:val="es-CO"/>
        </w:rPr>
      </w:pPr>
      <w:r w:rsidRPr="000F027E">
        <w:rPr>
          <w:rFonts w:ascii="Arial" w:hAnsi="Arial" w:cs="Arial"/>
          <w:sz w:val="22"/>
          <w:szCs w:val="22"/>
          <w:lang w:val="es-CO"/>
        </w:rPr>
        <w:t xml:space="preserve">Dirección de la Audiencia </w:t>
      </w:r>
    </w:p>
    <w:p w:rsidR="000F027E" w:rsidRPr="000F027E" w:rsidRDefault="000F027E" w:rsidP="000F027E">
      <w:pPr>
        <w:pStyle w:val="Prrafodelista"/>
        <w:widowControl w:val="0"/>
        <w:numPr>
          <w:ilvl w:val="0"/>
          <w:numId w:val="8"/>
        </w:numPr>
        <w:autoSpaceDE w:val="0"/>
        <w:autoSpaceDN w:val="0"/>
        <w:adjustRightInd w:val="0"/>
        <w:jc w:val="both"/>
        <w:rPr>
          <w:rFonts w:ascii="Arial" w:hAnsi="Arial" w:cs="Arial"/>
          <w:sz w:val="22"/>
          <w:szCs w:val="22"/>
          <w:lang w:val="es-CO"/>
        </w:rPr>
      </w:pPr>
      <w:r w:rsidRPr="000F027E">
        <w:rPr>
          <w:rFonts w:ascii="Arial" w:hAnsi="Arial" w:cs="Arial"/>
          <w:sz w:val="22"/>
          <w:szCs w:val="22"/>
          <w:lang w:val="es-CO"/>
        </w:rPr>
        <w:t>Expedición y firma del Acto Administrativo</w:t>
      </w:r>
    </w:p>
    <w:p w:rsidR="000F027E" w:rsidRPr="000F027E" w:rsidRDefault="000F027E" w:rsidP="000F027E">
      <w:pPr>
        <w:pStyle w:val="Prrafodelista"/>
        <w:widowControl w:val="0"/>
        <w:numPr>
          <w:ilvl w:val="0"/>
          <w:numId w:val="8"/>
        </w:numPr>
        <w:autoSpaceDE w:val="0"/>
        <w:autoSpaceDN w:val="0"/>
        <w:adjustRightInd w:val="0"/>
        <w:jc w:val="both"/>
        <w:rPr>
          <w:rFonts w:ascii="Arial" w:hAnsi="Arial" w:cs="Arial"/>
          <w:sz w:val="22"/>
          <w:szCs w:val="22"/>
          <w:lang w:val="es-CO"/>
        </w:rPr>
      </w:pPr>
      <w:r w:rsidRPr="000F027E">
        <w:rPr>
          <w:rFonts w:ascii="Arial" w:hAnsi="Arial" w:cs="Arial"/>
          <w:sz w:val="22"/>
          <w:szCs w:val="22"/>
          <w:lang w:val="es-CO"/>
        </w:rPr>
        <w:t xml:space="preserve">Decisión de la impugnación </w:t>
      </w:r>
    </w:p>
    <w:p w:rsidR="000F027E" w:rsidRPr="000F027E" w:rsidRDefault="000F027E" w:rsidP="000F027E">
      <w:pPr>
        <w:widowControl w:val="0"/>
        <w:autoSpaceDE w:val="0"/>
        <w:autoSpaceDN w:val="0"/>
        <w:adjustRightInd w:val="0"/>
        <w:jc w:val="both"/>
        <w:rPr>
          <w:rFonts w:ascii="Arial" w:hAnsi="Arial" w:cs="Arial"/>
          <w:sz w:val="22"/>
          <w:szCs w:val="22"/>
          <w:lang w:val="es-CO"/>
        </w:rPr>
      </w:pPr>
    </w:p>
    <w:p w:rsidR="000F027E" w:rsidRPr="000F027E" w:rsidRDefault="000F027E" w:rsidP="000F027E">
      <w:pPr>
        <w:widowControl w:val="0"/>
        <w:autoSpaceDE w:val="0"/>
        <w:autoSpaceDN w:val="0"/>
        <w:adjustRightInd w:val="0"/>
        <w:jc w:val="both"/>
        <w:rPr>
          <w:rFonts w:ascii="Arial" w:hAnsi="Arial" w:cs="Arial"/>
          <w:sz w:val="22"/>
          <w:szCs w:val="22"/>
          <w:lang w:val="es-CO"/>
        </w:rPr>
      </w:pPr>
      <w:r w:rsidRPr="000F027E">
        <w:rPr>
          <w:rFonts w:ascii="Arial" w:hAnsi="Arial" w:cs="Arial"/>
          <w:sz w:val="22"/>
          <w:szCs w:val="22"/>
          <w:lang w:val="es-CO"/>
        </w:rPr>
        <w:t xml:space="preserve">De igual forma, las referidas resoluciones se sustentaron en lo señalado en el artículo 86 de la Ley 1474 de 2011, disposición que regula el procedimiento para la </w:t>
      </w:r>
      <w:bookmarkStart w:id="0" w:name="86"/>
      <w:r w:rsidRPr="000F027E">
        <w:rPr>
          <w:rFonts w:ascii="Arial" w:hAnsi="Arial" w:cs="Arial"/>
          <w:b/>
          <w:bCs/>
          <w:sz w:val="22"/>
          <w:szCs w:val="22"/>
          <w:u w:val="single"/>
        </w:rPr>
        <w:t>IMPOSICIÓN DE MULTAS, SANCIONES Y DECLARATORIAS DE INCUMPLIMIENTO</w:t>
      </w:r>
      <w:bookmarkEnd w:id="0"/>
      <w:r w:rsidRPr="000F027E">
        <w:rPr>
          <w:rFonts w:ascii="Arial" w:hAnsi="Arial" w:cs="Arial"/>
          <w:b/>
          <w:bCs/>
          <w:sz w:val="22"/>
          <w:szCs w:val="22"/>
          <w:u w:val="single"/>
        </w:rPr>
        <w:t>,</w:t>
      </w:r>
      <w:r w:rsidRPr="000F027E">
        <w:rPr>
          <w:rFonts w:ascii="Arial" w:hAnsi="Arial" w:cs="Arial"/>
          <w:b/>
          <w:bCs/>
          <w:sz w:val="22"/>
          <w:szCs w:val="22"/>
        </w:rPr>
        <w:t xml:space="preserve"> </w:t>
      </w:r>
      <w:r w:rsidRPr="000F027E">
        <w:rPr>
          <w:rFonts w:ascii="Arial" w:hAnsi="Arial" w:cs="Arial"/>
          <w:b/>
          <w:sz w:val="22"/>
          <w:szCs w:val="22"/>
          <w:lang w:val="es-CO"/>
        </w:rPr>
        <w:t>el cual</w:t>
      </w:r>
      <w:r w:rsidRPr="000F027E">
        <w:rPr>
          <w:rFonts w:ascii="Arial" w:hAnsi="Arial" w:cs="Arial"/>
          <w:b/>
          <w:bCs/>
          <w:sz w:val="22"/>
          <w:szCs w:val="22"/>
        </w:rPr>
        <w:t xml:space="preserve"> </w:t>
      </w:r>
      <w:r w:rsidRPr="000F027E">
        <w:rPr>
          <w:rFonts w:ascii="Arial" w:hAnsi="Arial" w:cs="Arial"/>
          <w:b/>
          <w:sz w:val="22"/>
          <w:szCs w:val="22"/>
          <w:lang w:val="es-CO"/>
        </w:rPr>
        <w:t>adelanta la Entidad a través de su representante legal</w:t>
      </w:r>
      <w:r w:rsidRPr="000F027E">
        <w:rPr>
          <w:rFonts w:ascii="Arial" w:hAnsi="Arial" w:cs="Arial"/>
          <w:sz w:val="22"/>
          <w:szCs w:val="22"/>
          <w:lang w:val="es-CO"/>
        </w:rPr>
        <w:t xml:space="preserve">. En dicha preceptiva legal no se hace alusión a otro servidor público que participe en este proceso lo que indica que en el evento en que se requiera que otro servidor público adelante el procedimiento sancionatorio, deberá existir delegación por parte de quien ostenta la competencia legal, para el caso que nos ocupa,  del Gobernador del Departamento de Arauca. </w:t>
      </w:r>
    </w:p>
    <w:p w:rsidR="000F027E" w:rsidRPr="000F027E" w:rsidRDefault="000F027E" w:rsidP="000F027E">
      <w:pPr>
        <w:widowControl w:val="0"/>
        <w:autoSpaceDE w:val="0"/>
        <w:autoSpaceDN w:val="0"/>
        <w:adjustRightInd w:val="0"/>
        <w:ind w:left="720"/>
        <w:jc w:val="both"/>
        <w:rPr>
          <w:rFonts w:ascii="Arial" w:hAnsi="Arial" w:cs="Arial"/>
          <w:sz w:val="22"/>
          <w:szCs w:val="22"/>
          <w:lang w:val="es-CO"/>
        </w:rPr>
      </w:pPr>
    </w:p>
    <w:p w:rsidR="000F027E" w:rsidRPr="000F027E" w:rsidRDefault="000F027E" w:rsidP="000F027E">
      <w:pPr>
        <w:widowControl w:val="0"/>
        <w:autoSpaceDE w:val="0"/>
        <w:autoSpaceDN w:val="0"/>
        <w:adjustRightInd w:val="0"/>
        <w:jc w:val="both"/>
        <w:rPr>
          <w:rFonts w:ascii="Arial" w:hAnsi="Arial" w:cs="Arial"/>
          <w:sz w:val="22"/>
          <w:szCs w:val="22"/>
          <w:lang w:val="es-CO"/>
        </w:rPr>
      </w:pPr>
      <w:r w:rsidRPr="000F027E">
        <w:rPr>
          <w:rFonts w:ascii="Arial" w:hAnsi="Arial" w:cs="Arial"/>
          <w:sz w:val="22"/>
          <w:szCs w:val="22"/>
          <w:lang w:val="es-CO"/>
        </w:rPr>
        <w:t xml:space="preserve">En el caso en particular, </w:t>
      </w:r>
      <w:r w:rsidR="00FF2C31">
        <w:rPr>
          <w:rFonts w:ascii="Arial" w:hAnsi="Arial" w:cs="Arial"/>
          <w:sz w:val="22"/>
          <w:szCs w:val="22"/>
          <w:lang w:val="es-CO"/>
        </w:rPr>
        <w:t xml:space="preserve">se observa </w:t>
      </w:r>
      <w:r w:rsidRPr="000F027E">
        <w:rPr>
          <w:rFonts w:ascii="Arial" w:hAnsi="Arial" w:cs="Arial"/>
          <w:sz w:val="22"/>
          <w:szCs w:val="22"/>
          <w:lang w:val="es-CO"/>
        </w:rPr>
        <w:t xml:space="preserve">que Las Resoluciones No. 2614 de 2015 POR LA CUAL SE DECLARA UN SINIESTRO y No. 2557 de 2015 POR EL CUAL SE RESUELVE UN RECURSO DE RESPOSICION, fueron expedidas por un servidor público que no ostentaba la competencia funcional, lo que puede generar Nulidad Absoluta de todo lo actuado, tipificándose una de las causales señalada en el  artículo 137 del Código de Procedimiento Administrativo y de lo Contencioso Administrativo, norma que prescribe: </w:t>
      </w:r>
    </w:p>
    <w:p w:rsidR="000F027E" w:rsidRPr="000F027E" w:rsidRDefault="000F027E" w:rsidP="000F027E">
      <w:pPr>
        <w:widowControl w:val="0"/>
        <w:autoSpaceDE w:val="0"/>
        <w:autoSpaceDN w:val="0"/>
        <w:adjustRightInd w:val="0"/>
        <w:jc w:val="both"/>
        <w:rPr>
          <w:rFonts w:ascii="Arial" w:hAnsi="Arial" w:cs="Arial"/>
          <w:sz w:val="22"/>
          <w:szCs w:val="22"/>
          <w:lang w:val="es-CO"/>
        </w:rPr>
      </w:pPr>
    </w:p>
    <w:p w:rsidR="00FF2C31" w:rsidRPr="00FF2C31" w:rsidRDefault="000F027E" w:rsidP="000F027E">
      <w:pPr>
        <w:widowControl w:val="0"/>
        <w:autoSpaceDE w:val="0"/>
        <w:autoSpaceDN w:val="0"/>
        <w:adjustRightInd w:val="0"/>
        <w:ind w:left="720"/>
        <w:jc w:val="both"/>
        <w:rPr>
          <w:rFonts w:ascii="Arial" w:hAnsi="Arial" w:cs="Arial"/>
          <w:i/>
          <w:lang w:val="es-CO"/>
        </w:rPr>
      </w:pPr>
      <w:r w:rsidRPr="00FF2C31">
        <w:rPr>
          <w:rFonts w:ascii="Arial" w:hAnsi="Arial" w:cs="Arial"/>
          <w:i/>
          <w:lang w:val="es-CO"/>
        </w:rPr>
        <w:t xml:space="preserve">… “ARTÍCULO 137. NULIDAD. Toda persona podrá solicitar por sí, o por medio de representante, que se declare la nulidad de los actos administrativos de carácter general. </w:t>
      </w:r>
    </w:p>
    <w:p w:rsidR="000F027E" w:rsidRPr="00FF2C31" w:rsidRDefault="000F027E" w:rsidP="000F027E">
      <w:pPr>
        <w:widowControl w:val="0"/>
        <w:autoSpaceDE w:val="0"/>
        <w:autoSpaceDN w:val="0"/>
        <w:adjustRightInd w:val="0"/>
        <w:ind w:left="720"/>
        <w:jc w:val="both"/>
        <w:rPr>
          <w:rFonts w:ascii="Arial" w:hAnsi="Arial" w:cs="Arial"/>
          <w:i/>
          <w:lang w:val="es-CO"/>
        </w:rPr>
      </w:pPr>
      <w:r w:rsidRPr="00FF2C31">
        <w:rPr>
          <w:rFonts w:ascii="Arial" w:hAnsi="Arial" w:cs="Arial"/>
          <w:i/>
          <w:lang w:val="es-CO"/>
        </w:rPr>
        <w:t>Procederá cuando hayan sido expedidos con infracción de las normas en que deberían fundarse, o sin competencia, o en forma irregular, o con desconocimiento del derecho de audiencia y defensa, o mediante falsa motivación, o con desviación de las atribuciones propias de quien los profirió</w:t>
      </w:r>
      <w:r w:rsidR="00FF2C31">
        <w:rPr>
          <w:rFonts w:ascii="Arial" w:hAnsi="Arial" w:cs="Arial"/>
          <w:i/>
          <w:lang w:val="es-CO"/>
        </w:rPr>
        <w:t>…</w:t>
      </w:r>
    </w:p>
    <w:p w:rsidR="000F027E" w:rsidRPr="000F027E" w:rsidRDefault="000F027E" w:rsidP="000F027E">
      <w:pPr>
        <w:widowControl w:val="0"/>
        <w:autoSpaceDE w:val="0"/>
        <w:autoSpaceDN w:val="0"/>
        <w:adjustRightInd w:val="0"/>
        <w:ind w:left="708"/>
        <w:jc w:val="both"/>
        <w:rPr>
          <w:rFonts w:ascii="Arial" w:hAnsi="Arial" w:cs="Arial"/>
          <w:sz w:val="22"/>
          <w:szCs w:val="22"/>
          <w:lang w:val="es-CO"/>
        </w:rPr>
      </w:pPr>
    </w:p>
    <w:p w:rsidR="00FF2C31" w:rsidRDefault="000F027E" w:rsidP="00FF2C31">
      <w:pPr>
        <w:widowControl w:val="0"/>
        <w:autoSpaceDE w:val="0"/>
        <w:autoSpaceDN w:val="0"/>
        <w:adjustRightInd w:val="0"/>
        <w:ind w:left="709"/>
        <w:jc w:val="both"/>
        <w:rPr>
          <w:rFonts w:ascii="Arial" w:hAnsi="Arial" w:cs="Arial"/>
          <w:i/>
          <w:lang w:val="es-CO"/>
        </w:rPr>
      </w:pPr>
      <w:r w:rsidRPr="00FF2C31">
        <w:rPr>
          <w:rFonts w:ascii="Arial" w:hAnsi="Arial" w:cs="Arial"/>
          <w:i/>
          <w:lang w:val="es-CO"/>
        </w:rPr>
        <w:t xml:space="preserve">También puede pedirse que se declare la nulidad de las circulares de servicio y de los actos de certificación y registro. </w:t>
      </w:r>
    </w:p>
    <w:p w:rsidR="00FF2C31" w:rsidRPr="00FF2C31" w:rsidRDefault="00FF2C31" w:rsidP="00FF2C31">
      <w:pPr>
        <w:widowControl w:val="0"/>
        <w:autoSpaceDE w:val="0"/>
        <w:autoSpaceDN w:val="0"/>
        <w:adjustRightInd w:val="0"/>
        <w:ind w:left="709"/>
        <w:jc w:val="both"/>
        <w:rPr>
          <w:rFonts w:ascii="Arial" w:hAnsi="Arial" w:cs="Arial"/>
          <w:i/>
          <w:lang w:val="es-CO"/>
        </w:rPr>
      </w:pPr>
    </w:p>
    <w:p w:rsidR="000F027E" w:rsidRPr="00FF2C31" w:rsidRDefault="000F027E" w:rsidP="00FF2C31">
      <w:pPr>
        <w:widowControl w:val="0"/>
        <w:autoSpaceDE w:val="0"/>
        <w:autoSpaceDN w:val="0"/>
        <w:adjustRightInd w:val="0"/>
        <w:ind w:left="709"/>
        <w:jc w:val="both"/>
        <w:rPr>
          <w:rFonts w:ascii="Arial" w:hAnsi="Arial" w:cs="Arial"/>
          <w:i/>
          <w:lang w:val="es-CO"/>
        </w:rPr>
      </w:pPr>
      <w:r w:rsidRPr="00FF2C31">
        <w:rPr>
          <w:rFonts w:ascii="Arial" w:hAnsi="Arial" w:cs="Arial"/>
          <w:i/>
          <w:lang w:val="es-CO"/>
        </w:rPr>
        <w:t>Excepcionalmente podrá pedirse la nulidad de actos administrativos de contenido particular en los siguientes casos:</w:t>
      </w:r>
    </w:p>
    <w:p w:rsidR="00FF2C31" w:rsidRPr="00FF2C31" w:rsidRDefault="00FF2C31" w:rsidP="00FF2C31">
      <w:pPr>
        <w:widowControl w:val="0"/>
        <w:autoSpaceDE w:val="0"/>
        <w:autoSpaceDN w:val="0"/>
        <w:adjustRightInd w:val="0"/>
        <w:ind w:left="709"/>
        <w:jc w:val="both"/>
        <w:rPr>
          <w:rFonts w:ascii="Arial" w:hAnsi="Arial" w:cs="Arial"/>
          <w:i/>
          <w:lang w:val="es-CO"/>
        </w:rPr>
      </w:pPr>
    </w:p>
    <w:p w:rsidR="000F027E" w:rsidRPr="00FF2C31" w:rsidRDefault="000F027E" w:rsidP="00FF2C31">
      <w:pPr>
        <w:widowControl w:val="0"/>
        <w:autoSpaceDE w:val="0"/>
        <w:autoSpaceDN w:val="0"/>
        <w:adjustRightInd w:val="0"/>
        <w:ind w:left="709"/>
        <w:jc w:val="both"/>
        <w:rPr>
          <w:rFonts w:ascii="Arial" w:hAnsi="Arial" w:cs="Arial"/>
          <w:i/>
          <w:lang w:val="es-CO"/>
        </w:rPr>
      </w:pPr>
      <w:r w:rsidRPr="00FF2C31">
        <w:rPr>
          <w:rFonts w:ascii="Arial" w:hAnsi="Arial" w:cs="Arial"/>
          <w:i/>
          <w:lang w:val="es-CO"/>
        </w:rPr>
        <w:t xml:space="preserve">1. Cuando con la demanda no se persiga o de la sentencia de nulidad que se produjere no se genere el restablecimiento automático de un derecho subjetivo a favor del demandante o de un tercero. </w:t>
      </w:r>
    </w:p>
    <w:p w:rsidR="000F027E" w:rsidRPr="00FF2C31" w:rsidRDefault="000F027E" w:rsidP="00FF2C31">
      <w:pPr>
        <w:widowControl w:val="0"/>
        <w:autoSpaceDE w:val="0"/>
        <w:autoSpaceDN w:val="0"/>
        <w:adjustRightInd w:val="0"/>
        <w:ind w:left="709"/>
        <w:jc w:val="both"/>
        <w:rPr>
          <w:rFonts w:ascii="Arial" w:hAnsi="Arial" w:cs="Arial"/>
          <w:i/>
          <w:lang w:val="es-CO"/>
        </w:rPr>
      </w:pPr>
    </w:p>
    <w:p w:rsidR="000F027E" w:rsidRPr="00FF2C31" w:rsidRDefault="000F027E" w:rsidP="00FF2C31">
      <w:pPr>
        <w:widowControl w:val="0"/>
        <w:autoSpaceDE w:val="0"/>
        <w:autoSpaceDN w:val="0"/>
        <w:adjustRightInd w:val="0"/>
        <w:ind w:left="709"/>
        <w:jc w:val="both"/>
        <w:rPr>
          <w:rFonts w:ascii="Arial" w:hAnsi="Arial" w:cs="Arial"/>
          <w:i/>
          <w:lang w:val="es-CO"/>
        </w:rPr>
      </w:pPr>
      <w:r w:rsidRPr="00FF2C31">
        <w:rPr>
          <w:rFonts w:ascii="Arial" w:hAnsi="Arial" w:cs="Arial"/>
          <w:i/>
          <w:lang w:val="es-CO"/>
        </w:rPr>
        <w:lastRenderedPageBreak/>
        <w:t xml:space="preserve">2. Cuando se trate de recuperar bienes de uso público. </w:t>
      </w:r>
    </w:p>
    <w:p w:rsidR="000F027E" w:rsidRPr="00FF2C31" w:rsidRDefault="000F027E" w:rsidP="00FF2C31">
      <w:pPr>
        <w:widowControl w:val="0"/>
        <w:autoSpaceDE w:val="0"/>
        <w:autoSpaceDN w:val="0"/>
        <w:adjustRightInd w:val="0"/>
        <w:ind w:left="709"/>
        <w:jc w:val="both"/>
        <w:rPr>
          <w:rFonts w:ascii="Arial" w:hAnsi="Arial" w:cs="Arial"/>
          <w:i/>
          <w:lang w:val="es-CO"/>
        </w:rPr>
      </w:pPr>
    </w:p>
    <w:p w:rsidR="000F027E" w:rsidRPr="00FF2C31" w:rsidRDefault="000F027E" w:rsidP="00FF2C31">
      <w:pPr>
        <w:widowControl w:val="0"/>
        <w:autoSpaceDE w:val="0"/>
        <w:autoSpaceDN w:val="0"/>
        <w:adjustRightInd w:val="0"/>
        <w:ind w:left="709"/>
        <w:jc w:val="both"/>
        <w:rPr>
          <w:rFonts w:ascii="Arial" w:hAnsi="Arial" w:cs="Arial"/>
          <w:i/>
          <w:lang w:val="es-CO"/>
        </w:rPr>
      </w:pPr>
      <w:r w:rsidRPr="00FF2C31">
        <w:rPr>
          <w:rFonts w:ascii="Arial" w:hAnsi="Arial" w:cs="Arial"/>
          <w:i/>
          <w:lang w:val="es-CO"/>
        </w:rPr>
        <w:t xml:space="preserve">3. Cuando los efectos nocivos del acto administrativo afecten en materia grave el orden público, político, económico, social o ecológico. </w:t>
      </w:r>
    </w:p>
    <w:p w:rsidR="000F027E" w:rsidRPr="00FF2C31" w:rsidRDefault="000F027E" w:rsidP="00FF2C31">
      <w:pPr>
        <w:widowControl w:val="0"/>
        <w:autoSpaceDE w:val="0"/>
        <w:autoSpaceDN w:val="0"/>
        <w:adjustRightInd w:val="0"/>
        <w:ind w:left="709"/>
        <w:jc w:val="both"/>
        <w:rPr>
          <w:rFonts w:ascii="Arial" w:hAnsi="Arial" w:cs="Arial"/>
          <w:i/>
          <w:lang w:val="es-CO"/>
        </w:rPr>
      </w:pPr>
    </w:p>
    <w:p w:rsidR="000F027E" w:rsidRPr="00FF2C31" w:rsidRDefault="000F027E" w:rsidP="00FF2C31">
      <w:pPr>
        <w:widowControl w:val="0"/>
        <w:autoSpaceDE w:val="0"/>
        <w:autoSpaceDN w:val="0"/>
        <w:adjustRightInd w:val="0"/>
        <w:ind w:left="709"/>
        <w:jc w:val="both"/>
        <w:rPr>
          <w:rFonts w:ascii="Arial" w:hAnsi="Arial" w:cs="Arial"/>
          <w:i/>
          <w:lang w:val="es-CO"/>
        </w:rPr>
      </w:pPr>
      <w:r w:rsidRPr="00FF2C31">
        <w:rPr>
          <w:rFonts w:ascii="Arial" w:hAnsi="Arial" w:cs="Arial"/>
          <w:i/>
          <w:lang w:val="es-CO"/>
        </w:rPr>
        <w:t xml:space="preserve">4. Cuando la ley lo consagre expresamente. </w:t>
      </w:r>
    </w:p>
    <w:p w:rsidR="000F027E" w:rsidRPr="00FF2C31" w:rsidRDefault="000F027E" w:rsidP="00FF2C31">
      <w:pPr>
        <w:widowControl w:val="0"/>
        <w:autoSpaceDE w:val="0"/>
        <w:autoSpaceDN w:val="0"/>
        <w:adjustRightInd w:val="0"/>
        <w:ind w:left="709"/>
        <w:jc w:val="both"/>
        <w:rPr>
          <w:rFonts w:ascii="Arial" w:hAnsi="Arial" w:cs="Arial"/>
          <w:i/>
          <w:lang w:val="es-CO"/>
        </w:rPr>
      </w:pPr>
    </w:p>
    <w:p w:rsidR="000F027E" w:rsidRPr="00FF2C31" w:rsidRDefault="000F027E" w:rsidP="00FF2C31">
      <w:pPr>
        <w:widowControl w:val="0"/>
        <w:autoSpaceDE w:val="0"/>
        <w:autoSpaceDN w:val="0"/>
        <w:adjustRightInd w:val="0"/>
        <w:ind w:left="709"/>
        <w:jc w:val="both"/>
        <w:rPr>
          <w:rFonts w:ascii="Arial" w:hAnsi="Arial" w:cs="Arial"/>
          <w:i/>
          <w:lang w:val="es-CO"/>
        </w:rPr>
      </w:pPr>
      <w:r w:rsidRPr="00FF2C31">
        <w:rPr>
          <w:rFonts w:ascii="Arial" w:hAnsi="Arial" w:cs="Arial"/>
          <w:i/>
          <w:lang w:val="es-CO"/>
        </w:rPr>
        <w:t>PARÁGRAFO. Si de la demanda se desprendiere que se persigue el restablecimiento automático de un derecho, se tramitará conforme a las reglas del artículo siguiente”…</w:t>
      </w:r>
    </w:p>
    <w:p w:rsidR="000F027E" w:rsidRPr="00FF2C31" w:rsidRDefault="000F027E" w:rsidP="00FF2C31">
      <w:pPr>
        <w:widowControl w:val="0"/>
        <w:autoSpaceDE w:val="0"/>
        <w:autoSpaceDN w:val="0"/>
        <w:adjustRightInd w:val="0"/>
        <w:ind w:left="709"/>
        <w:jc w:val="both"/>
        <w:rPr>
          <w:rFonts w:ascii="Arial" w:hAnsi="Arial" w:cs="Arial"/>
          <w:i/>
          <w:lang w:val="es-CO"/>
        </w:rPr>
      </w:pPr>
    </w:p>
    <w:p w:rsidR="005702F5" w:rsidRDefault="005702F5" w:rsidP="00045E39">
      <w:pPr>
        <w:tabs>
          <w:tab w:val="left" w:pos="6946"/>
        </w:tabs>
        <w:jc w:val="both"/>
        <w:rPr>
          <w:rFonts w:ascii="Arial" w:hAnsi="Arial" w:cs="Arial"/>
          <w:b/>
          <w:sz w:val="22"/>
          <w:szCs w:val="22"/>
        </w:rPr>
      </w:pPr>
    </w:p>
    <w:p w:rsidR="0069188A" w:rsidRPr="00184601" w:rsidRDefault="0069188A" w:rsidP="00045E39">
      <w:pPr>
        <w:tabs>
          <w:tab w:val="left" w:pos="6946"/>
        </w:tabs>
        <w:jc w:val="both"/>
        <w:rPr>
          <w:rFonts w:ascii="Arial" w:hAnsi="Arial" w:cs="Arial"/>
          <w:b/>
          <w:sz w:val="22"/>
          <w:szCs w:val="22"/>
        </w:rPr>
      </w:pPr>
      <w:r w:rsidRPr="00184601">
        <w:rPr>
          <w:rFonts w:ascii="Arial" w:hAnsi="Arial" w:cs="Arial"/>
          <w:b/>
          <w:sz w:val="22"/>
          <w:szCs w:val="22"/>
        </w:rPr>
        <w:t>DE LA REVOCATORIA DIRECTA:</w:t>
      </w:r>
    </w:p>
    <w:p w:rsidR="00916253" w:rsidRDefault="00916253" w:rsidP="00045E39">
      <w:pPr>
        <w:tabs>
          <w:tab w:val="left" w:pos="6946"/>
        </w:tabs>
        <w:spacing w:line="276" w:lineRule="auto"/>
        <w:jc w:val="both"/>
        <w:rPr>
          <w:rFonts w:ascii="Arial" w:hAnsi="Arial" w:cs="Arial"/>
          <w:sz w:val="22"/>
          <w:szCs w:val="22"/>
        </w:rPr>
      </w:pPr>
    </w:p>
    <w:p w:rsidR="003C3A63" w:rsidRPr="003C3A63" w:rsidRDefault="003C3A63" w:rsidP="003C3A63">
      <w:pPr>
        <w:widowControl w:val="0"/>
        <w:autoSpaceDE w:val="0"/>
        <w:autoSpaceDN w:val="0"/>
        <w:adjustRightInd w:val="0"/>
        <w:jc w:val="both"/>
        <w:rPr>
          <w:rFonts w:ascii="Arial" w:hAnsi="Arial" w:cs="Arial"/>
          <w:i/>
        </w:rPr>
      </w:pPr>
      <w:r w:rsidRPr="003C3A63">
        <w:rPr>
          <w:rFonts w:ascii="Arial" w:hAnsi="Arial" w:cs="Arial"/>
          <w:sz w:val="22"/>
          <w:szCs w:val="22"/>
        </w:rPr>
        <w:t>De conformidad con lo establecido en el artículo 93 del Código de Procedimiento Administrativo y de lo Contencioso Administrativo,</w:t>
      </w:r>
      <w:r>
        <w:rPr>
          <w:rFonts w:ascii="Arial" w:hAnsi="Arial" w:cs="Arial"/>
          <w:sz w:val="22"/>
          <w:szCs w:val="22"/>
        </w:rPr>
        <w:t xml:space="preserve"> </w:t>
      </w:r>
      <w:r w:rsidRPr="003C3A63">
        <w:rPr>
          <w:rFonts w:ascii="Arial" w:hAnsi="Arial" w:cs="Arial"/>
          <w:i/>
        </w:rPr>
        <w:t>“Los actos administrativos deberán ser revocados por las mismas autoridades que los hayan expedido o por sus inmediatos superiores jerárquicos o funcionales, de oficio o a solicitud de parte, en cualquiera de los siguientes casos:</w:t>
      </w:r>
    </w:p>
    <w:p w:rsidR="003C3A63" w:rsidRPr="003C3A63" w:rsidRDefault="003C3A63" w:rsidP="003C3A63">
      <w:pPr>
        <w:widowControl w:val="0"/>
        <w:autoSpaceDE w:val="0"/>
        <w:autoSpaceDN w:val="0"/>
        <w:adjustRightInd w:val="0"/>
        <w:jc w:val="both"/>
        <w:rPr>
          <w:rFonts w:ascii="Arial" w:hAnsi="Arial" w:cs="Arial"/>
          <w:i/>
        </w:rPr>
      </w:pPr>
    </w:p>
    <w:p w:rsidR="003C3A63" w:rsidRPr="003C3A63" w:rsidRDefault="003C3A63" w:rsidP="003C3A63">
      <w:pPr>
        <w:pStyle w:val="Prrafodelista"/>
        <w:widowControl w:val="0"/>
        <w:numPr>
          <w:ilvl w:val="0"/>
          <w:numId w:val="10"/>
        </w:numPr>
        <w:autoSpaceDE w:val="0"/>
        <w:autoSpaceDN w:val="0"/>
        <w:adjustRightInd w:val="0"/>
        <w:jc w:val="both"/>
        <w:rPr>
          <w:rFonts w:ascii="Arial" w:hAnsi="Arial" w:cs="Arial"/>
          <w:i/>
        </w:rPr>
      </w:pPr>
      <w:r w:rsidRPr="003C3A63">
        <w:rPr>
          <w:rFonts w:ascii="Arial" w:hAnsi="Arial" w:cs="Arial"/>
          <w:i/>
        </w:rPr>
        <w:t>Cuando sea manifiesta su oposición a la Constitución Política o a la ley.</w:t>
      </w:r>
    </w:p>
    <w:p w:rsidR="003C3A63" w:rsidRPr="003C3A63" w:rsidRDefault="003C3A63" w:rsidP="003C3A63">
      <w:pPr>
        <w:widowControl w:val="0"/>
        <w:autoSpaceDE w:val="0"/>
        <w:autoSpaceDN w:val="0"/>
        <w:adjustRightInd w:val="0"/>
        <w:jc w:val="both"/>
        <w:rPr>
          <w:rFonts w:ascii="Arial" w:hAnsi="Arial" w:cs="Arial"/>
          <w:i/>
        </w:rPr>
      </w:pPr>
    </w:p>
    <w:p w:rsidR="003C3A63" w:rsidRPr="003C3A63" w:rsidRDefault="003C3A63" w:rsidP="003C3A63">
      <w:pPr>
        <w:pStyle w:val="Prrafodelista"/>
        <w:widowControl w:val="0"/>
        <w:numPr>
          <w:ilvl w:val="0"/>
          <w:numId w:val="10"/>
        </w:numPr>
        <w:autoSpaceDE w:val="0"/>
        <w:autoSpaceDN w:val="0"/>
        <w:adjustRightInd w:val="0"/>
        <w:jc w:val="both"/>
        <w:rPr>
          <w:rFonts w:ascii="Arial" w:hAnsi="Arial" w:cs="Arial"/>
          <w:i/>
        </w:rPr>
      </w:pPr>
      <w:r w:rsidRPr="003C3A63">
        <w:rPr>
          <w:rFonts w:ascii="Arial" w:hAnsi="Arial" w:cs="Arial"/>
          <w:i/>
        </w:rPr>
        <w:t>Cuando no estén conformes con el interés público o social, o atenten contra él.</w:t>
      </w:r>
    </w:p>
    <w:p w:rsidR="003C3A63" w:rsidRPr="003C3A63" w:rsidRDefault="003C3A63" w:rsidP="003C3A63">
      <w:pPr>
        <w:pStyle w:val="Prrafodelista"/>
        <w:ind w:left="0"/>
        <w:rPr>
          <w:rFonts w:ascii="Arial" w:hAnsi="Arial" w:cs="Arial"/>
          <w:i/>
        </w:rPr>
      </w:pPr>
    </w:p>
    <w:p w:rsidR="003C3A63" w:rsidRPr="003C3A63" w:rsidRDefault="003C3A63" w:rsidP="003C3A63">
      <w:pPr>
        <w:widowControl w:val="0"/>
        <w:autoSpaceDE w:val="0"/>
        <w:autoSpaceDN w:val="0"/>
        <w:adjustRightInd w:val="0"/>
        <w:ind w:left="709" w:hanging="1"/>
        <w:jc w:val="both"/>
        <w:rPr>
          <w:rFonts w:ascii="Arial" w:hAnsi="Arial" w:cs="Arial"/>
          <w:i/>
        </w:rPr>
      </w:pPr>
      <w:r w:rsidRPr="003C3A63">
        <w:rPr>
          <w:rFonts w:ascii="Arial" w:hAnsi="Arial" w:cs="Arial"/>
          <w:i/>
        </w:rPr>
        <w:t>3</w:t>
      </w:r>
      <w:r>
        <w:rPr>
          <w:rFonts w:ascii="Arial" w:hAnsi="Arial" w:cs="Arial"/>
          <w:i/>
        </w:rPr>
        <w:t xml:space="preserve">. </w:t>
      </w:r>
      <w:r w:rsidRPr="003C3A63">
        <w:rPr>
          <w:rFonts w:ascii="Arial" w:hAnsi="Arial" w:cs="Arial"/>
          <w:i/>
        </w:rPr>
        <w:t>Cuando con ellos se cause agravio injustificado a una persona”…</w:t>
      </w:r>
    </w:p>
    <w:p w:rsidR="003C3A63" w:rsidRDefault="003C3A63" w:rsidP="00045E39">
      <w:pPr>
        <w:tabs>
          <w:tab w:val="left" w:pos="6946"/>
        </w:tabs>
        <w:spacing w:line="276" w:lineRule="auto"/>
        <w:jc w:val="both"/>
        <w:rPr>
          <w:rFonts w:ascii="Arial" w:hAnsi="Arial" w:cs="Arial"/>
          <w:sz w:val="22"/>
          <w:szCs w:val="22"/>
        </w:rPr>
      </w:pPr>
    </w:p>
    <w:p w:rsidR="001D3C11" w:rsidRPr="001D3C11" w:rsidRDefault="001D3C11" w:rsidP="001D3C11">
      <w:pPr>
        <w:jc w:val="both"/>
        <w:rPr>
          <w:rFonts w:ascii="Arial" w:hAnsi="Arial" w:cs="Arial"/>
          <w:sz w:val="22"/>
          <w:szCs w:val="22"/>
          <w:lang w:val="es-CO"/>
        </w:rPr>
      </w:pPr>
      <w:r>
        <w:rPr>
          <w:rFonts w:ascii="Arial" w:hAnsi="Arial" w:cs="Arial"/>
          <w:sz w:val="22"/>
          <w:szCs w:val="22"/>
        </w:rPr>
        <w:t>C</w:t>
      </w:r>
      <w:r w:rsidRPr="001D3C11">
        <w:rPr>
          <w:rFonts w:ascii="Arial" w:hAnsi="Arial" w:cs="Arial"/>
          <w:sz w:val="22"/>
          <w:szCs w:val="22"/>
        </w:rPr>
        <w:t xml:space="preserve">on ocasión de la expedición de las Resoluciones </w:t>
      </w:r>
      <w:r w:rsidRPr="001D3C11">
        <w:rPr>
          <w:rFonts w:ascii="Arial" w:hAnsi="Arial" w:cs="Arial"/>
          <w:sz w:val="22"/>
          <w:szCs w:val="22"/>
          <w:lang w:val="es-CO"/>
        </w:rPr>
        <w:t>2614 y 2657 de 2015, se observa que la actuación desplegada por la Administración Departamental</w:t>
      </w:r>
      <w:r>
        <w:rPr>
          <w:rFonts w:ascii="Arial" w:hAnsi="Arial" w:cs="Arial"/>
          <w:sz w:val="22"/>
          <w:szCs w:val="22"/>
          <w:lang w:val="es-CO"/>
        </w:rPr>
        <w:t xml:space="preserve">, </w:t>
      </w:r>
      <w:r w:rsidRPr="001D3C11">
        <w:rPr>
          <w:rFonts w:ascii="Arial" w:hAnsi="Arial" w:cs="Arial"/>
          <w:sz w:val="22"/>
          <w:szCs w:val="22"/>
          <w:lang w:val="es-CO"/>
        </w:rPr>
        <w:t>tipifica la causal contemplada en el numeral 1 de la norma antes transcrita, esto es, vulneración de una norma de carácter legal. Las resoluciones fueron expedidas por un servidor público que no ostentaba competencia legal o funcional propia o delegada para actuar.</w:t>
      </w:r>
    </w:p>
    <w:p w:rsidR="001D3C11" w:rsidRPr="001D3C11" w:rsidRDefault="001D3C11" w:rsidP="001D3C11">
      <w:pPr>
        <w:jc w:val="both"/>
        <w:rPr>
          <w:rFonts w:ascii="Arial" w:hAnsi="Arial" w:cs="Arial"/>
          <w:sz w:val="22"/>
          <w:szCs w:val="22"/>
          <w:lang w:val="es-CO"/>
        </w:rPr>
      </w:pPr>
    </w:p>
    <w:p w:rsidR="001D3C11" w:rsidRPr="001D3C11" w:rsidRDefault="001D3C11" w:rsidP="001D3C11">
      <w:pPr>
        <w:tabs>
          <w:tab w:val="left" w:pos="0"/>
        </w:tabs>
        <w:jc w:val="both"/>
        <w:rPr>
          <w:rFonts w:ascii="Arial" w:hAnsi="Arial" w:cs="Arial"/>
          <w:sz w:val="22"/>
          <w:szCs w:val="22"/>
        </w:rPr>
      </w:pPr>
      <w:r w:rsidRPr="001D3C11">
        <w:rPr>
          <w:rFonts w:ascii="Arial" w:hAnsi="Arial" w:cs="Arial"/>
          <w:sz w:val="22"/>
          <w:szCs w:val="22"/>
        </w:rPr>
        <w:t>Ahora bien, la causal establecida en el numeral 1 del artículo 93 del Código de Procedimiento Administrativo y de lo Contencioso Administrativo, requiere para ser validada y procedente que el peticionario no haya interpuesto los recursos procedentes frente al acto administrativo cuya medida se demanda.</w:t>
      </w:r>
    </w:p>
    <w:p w:rsidR="001D3C11" w:rsidRPr="001D3C11" w:rsidRDefault="001D3C11" w:rsidP="001D3C11">
      <w:pPr>
        <w:jc w:val="both"/>
        <w:rPr>
          <w:rFonts w:ascii="Arial" w:hAnsi="Arial" w:cs="Arial"/>
          <w:sz w:val="22"/>
          <w:szCs w:val="22"/>
        </w:rPr>
      </w:pPr>
    </w:p>
    <w:p w:rsidR="001D3C11" w:rsidRPr="001D3C11" w:rsidRDefault="001D3C11" w:rsidP="001D3C11">
      <w:pPr>
        <w:jc w:val="both"/>
        <w:rPr>
          <w:rFonts w:ascii="Arial" w:hAnsi="Arial" w:cs="Arial"/>
          <w:sz w:val="22"/>
          <w:szCs w:val="22"/>
        </w:rPr>
      </w:pPr>
      <w:r w:rsidRPr="001D3C11">
        <w:rPr>
          <w:rFonts w:ascii="Arial" w:hAnsi="Arial" w:cs="Arial"/>
          <w:sz w:val="22"/>
          <w:szCs w:val="22"/>
        </w:rPr>
        <w:t>En el presente caso, el peticionario interpuso recurso de reposición en contra de la Resolución 2614 de 2015, haciendo improcedente la solicitud de revocatoria.</w:t>
      </w:r>
    </w:p>
    <w:p w:rsidR="001D3C11" w:rsidRDefault="001D3C11" w:rsidP="001D3C11">
      <w:pPr>
        <w:jc w:val="both"/>
        <w:rPr>
          <w:rFonts w:ascii="Arial" w:hAnsi="Arial" w:cs="Arial"/>
          <w:sz w:val="22"/>
          <w:szCs w:val="22"/>
        </w:rPr>
      </w:pPr>
    </w:p>
    <w:p w:rsidR="001D3C11" w:rsidRPr="001D3C11" w:rsidRDefault="001D3C11" w:rsidP="001D3C11">
      <w:pPr>
        <w:jc w:val="both"/>
        <w:rPr>
          <w:rFonts w:ascii="Arial" w:hAnsi="Arial" w:cs="Arial"/>
          <w:sz w:val="22"/>
          <w:szCs w:val="22"/>
        </w:rPr>
      </w:pPr>
      <w:r w:rsidRPr="001D3C11">
        <w:rPr>
          <w:rFonts w:ascii="Arial" w:hAnsi="Arial" w:cs="Arial"/>
          <w:sz w:val="22"/>
          <w:szCs w:val="22"/>
        </w:rPr>
        <w:t xml:space="preserve">Señala la norma: </w:t>
      </w:r>
    </w:p>
    <w:p w:rsidR="001D3C11" w:rsidRPr="001D3C11" w:rsidRDefault="001D3C11" w:rsidP="001D3C11">
      <w:pPr>
        <w:jc w:val="both"/>
        <w:rPr>
          <w:rFonts w:ascii="Arial" w:hAnsi="Arial" w:cs="Arial"/>
          <w:b/>
          <w:bCs/>
          <w:color w:val="333333"/>
          <w:sz w:val="22"/>
          <w:szCs w:val="22"/>
          <w:shd w:val="clear" w:color="auto" w:fill="FFFFFF"/>
        </w:rPr>
      </w:pPr>
    </w:p>
    <w:p w:rsidR="001D3C11" w:rsidRPr="001D3C11" w:rsidRDefault="001D3C11" w:rsidP="001D3C11">
      <w:pPr>
        <w:jc w:val="both"/>
        <w:rPr>
          <w:rFonts w:ascii="Arial" w:hAnsi="Arial" w:cs="Arial"/>
          <w:b/>
          <w:bCs/>
          <w:color w:val="333333"/>
          <w:sz w:val="22"/>
          <w:szCs w:val="22"/>
          <w:shd w:val="clear" w:color="auto" w:fill="FFFFFF"/>
        </w:rPr>
      </w:pPr>
    </w:p>
    <w:p w:rsidR="001D3C11" w:rsidRPr="001D3C11" w:rsidRDefault="001D3C11" w:rsidP="001D3C11">
      <w:pPr>
        <w:jc w:val="both"/>
        <w:rPr>
          <w:rFonts w:ascii="Arial" w:hAnsi="Arial" w:cs="Arial"/>
          <w:sz w:val="22"/>
          <w:szCs w:val="22"/>
        </w:rPr>
      </w:pPr>
      <w:r w:rsidRPr="001D3C11">
        <w:rPr>
          <w:rFonts w:ascii="Arial" w:hAnsi="Arial" w:cs="Arial"/>
          <w:sz w:val="22"/>
          <w:szCs w:val="22"/>
        </w:rPr>
        <w:t xml:space="preserve">… </w:t>
      </w:r>
      <w:r w:rsidRPr="001D3C11">
        <w:rPr>
          <w:rFonts w:ascii="Arial" w:hAnsi="Arial" w:cs="Arial"/>
          <w:i/>
        </w:rPr>
        <w:t>“Artículo 94. Improcedencia. La revocación directa de los actos administrativos a solicitud de parte no procederá por la causal del numeral 1 del artículo anterior, cuando el peticionario haya interpuesto los recursos de que dichos actos sean susceptibles, ni en relación con los cuales haya operado la caducidad para su control judicial”...</w:t>
      </w:r>
    </w:p>
    <w:p w:rsidR="001D3C11" w:rsidRPr="001D3C11" w:rsidRDefault="001D3C11" w:rsidP="001D3C11">
      <w:pPr>
        <w:jc w:val="both"/>
        <w:rPr>
          <w:rFonts w:ascii="Arial" w:hAnsi="Arial" w:cs="Arial"/>
          <w:sz w:val="22"/>
          <w:szCs w:val="22"/>
          <w:lang w:val="es-CO"/>
        </w:rPr>
      </w:pPr>
      <w:r w:rsidRPr="001D3C11">
        <w:rPr>
          <w:rFonts w:ascii="Arial" w:hAnsi="Arial" w:cs="Arial"/>
          <w:sz w:val="22"/>
          <w:szCs w:val="22"/>
        </w:rPr>
        <w:lastRenderedPageBreak/>
        <w:t xml:space="preserve">Ahora bien, esta circunstancia no es óbice para que dentro de un contexto integral se analice la posibilidad de revocar directamente </w:t>
      </w:r>
      <w:r w:rsidRPr="001D3C11">
        <w:rPr>
          <w:rFonts w:ascii="Arial" w:hAnsi="Arial" w:cs="Arial"/>
          <w:b/>
          <w:sz w:val="22"/>
          <w:szCs w:val="22"/>
        </w:rPr>
        <w:t xml:space="preserve">de oficio </w:t>
      </w:r>
      <w:r w:rsidRPr="001D3C11">
        <w:rPr>
          <w:rFonts w:ascii="Arial" w:hAnsi="Arial" w:cs="Arial"/>
          <w:sz w:val="22"/>
          <w:szCs w:val="22"/>
        </w:rPr>
        <w:t>las</w:t>
      </w:r>
      <w:r w:rsidRPr="001D3C11">
        <w:rPr>
          <w:rFonts w:ascii="Arial" w:hAnsi="Arial" w:cs="Arial"/>
          <w:b/>
          <w:sz w:val="22"/>
          <w:szCs w:val="22"/>
        </w:rPr>
        <w:t xml:space="preserve"> </w:t>
      </w:r>
      <w:r w:rsidRPr="001D3C11">
        <w:rPr>
          <w:rFonts w:ascii="Arial" w:hAnsi="Arial" w:cs="Arial"/>
          <w:sz w:val="22"/>
          <w:szCs w:val="22"/>
        </w:rPr>
        <w:t xml:space="preserve">Resoluciones </w:t>
      </w:r>
      <w:r w:rsidRPr="001D3C11">
        <w:rPr>
          <w:rFonts w:ascii="Arial" w:hAnsi="Arial" w:cs="Arial"/>
          <w:sz w:val="22"/>
          <w:szCs w:val="22"/>
          <w:lang w:val="es-CO"/>
        </w:rPr>
        <w:t>2614 y 2657 de 2015.</w:t>
      </w:r>
    </w:p>
    <w:p w:rsidR="001D3C11" w:rsidRPr="001D3C11" w:rsidRDefault="001D3C11" w:rsidP="001D3C11">
      <w:pPr>
        <w:jc w:val="both"/>
        <w:rPr>
          <w:rFonts w:ascii="Arial" w:hAnsi="Arial" w:cs="Arial"/>
          <w:sz w:val="22"/>
          <w:szCs w:val="22"/>
          <w:lang w:val="es-CO"/>
        </w:rPr>
      </w:pPr>
    </w:p>
    <w:p w:rsidR="001D3C11" w:rsidRPr="001D3C11" w:rsidRDefault="001D3C11" w:rsidP="001D3C11">
      <w:pPr>
        <w:jc w:val="both"/>
        <w:rPr>
          <w:rFonts w:ascii="Arial" w:hAnsi="Arial" w:cs="Arial"/>
          <w:sz w:val="22"/>
          <w:szCs w:val="22"/>
          <w:lang w:val="es-CO"/>
        </w:rPr>
      </w:pPr>
      <w:r w:rsidRPr="001D3C11">
        <w:rPr>
          <w:rFonts w:ascii="Arial" w:hAnsi="Arial" w:cs="Arial"/>
          <w:sz w:val="22"/>
          <w:szCs w:val="22"/>
          <w:lang w:val="es-CO"/>
        </w:rPr>
        <w:t>En lo que corresponde al Acta de Liquidación del Contrato es necesario destacar que en caso de revertirse la medida, deberán efectuarse los ajustes correspondientes.</w:t>
      </w:r>
    </w:p>
    <w:p w:rsidR="001D3C11" w:rsidRPr="001D3C11" w:rsidRDefault="001D3C11" w:rsidP="001D3C11">
      <w:pPr>
        <w:jc w:val="both"/>
        <w:rPr>
          <w:rFonts w:ascii="Arial" w:hAnsi="Arial" w:cs="Arial"/>
          <w:sz w:val="22"/>
          <w:szCs w:val="22"/>
          <w:lang w:val="es-CO"/>
        </w:rPr>
      </w:pPr>
    </w:p>
    <w:p w:rsidR="00E16937" w:rsidRDefault="001D3C11" w:rsidP="00045E39">
      <w:pPr>
        <w:tabs>
          <w:tab w:val="left" w:pos="6946"/>
        </w:tabs>
        <w:spacing w:line="276" w:lineRule="auto"/>
        <w:jc w:val="both"/>
        <w:rPr>
          <w:rFonts w:ascii="Arial" w:hAnsi="Arial" w:cs="Arial"/>
          <w:sz w:val="22"/>
          <w:szCs w:val="22"/>
        </w:rPr>
      </w:pPr>
      <w:r>
        <w:rPr>
          <w:rFonts w:ascii="Arial" w:hAnsi="Arial" w:cs="Arial"/>
          <w:sz w:val="22"/>
          <w:szCs w:val="22"/>
        </w:rPr>
        <w:t xml:space="preserve">Así mismo, </w:t>
      </w:r>
      <w:r w:rsidR="00B0443F">
        <w:rPr>
          <w:rFonts w:ascii="Arial" w:hAnsi="Arial" w:cs="Arial"/>
          <w:sz w:val="22"/>
          <w:szCs w:val="22"/>
        </w:rPr>
        <w:t xml:space="preserve">se trae a colación </w:t>
      </w:r>
      <w:r w:rsidR="0069188A" w:rsidRPr="00184601">
        <w:rPr>
          <w:rFonts w:ascii="Arial" w:hAnsi="Arial" w:cs="Arial"/>
          <w:sz w:val="22"/>
          <w:szCs w:val="22"/>
        </w:rPr>
        <w:t xml:space="preserve">la posición del Consejo de Estado, Sala de lo Contencioso Administrativo, Sección Segunda, Subsección A, Consejero Ponente: Gustavo Eduardo Gómez </w:t>
      </w:r>
      <w:proofErr w:type="spellStart"/>
      <w:r w:rsidR="0069188A" w:rsidRPr="00184601">
        <w:rPr>
          <w:rFonts w:ascii="Arial" w:hAnsi="Arial" w:cs="Arial"/>
          <w:sz w:val="22"/>
          <w:szCs w:val="22"/>
        </w:rPr>
        <w:t>Aranguen</w:t>
      </w:r>
      <w:proofErr w:type="spellEnd"/>
      <w:r w:rsidR="0069188A" w:rsidRPr="00184601">
        <w:rPr>
          <w:rFonts w:ascii="Arial" w:hAnsi="Arial" w:cs="Arial"/>
          <w:sz w:val="22"/>
          <w:szCs w:val="22"/>
        </w:rPr>
        <w:t xml:space="preserve">, </w:t>
      </w:r>
      <w:r w:rsidR="00E16937" w:rsidRPr="00184601">
        <w:rPr>
          <w:rFonts w:ascii="Arial" w:hAnsi="Arial" w:cs="Arial"/>
          <w:sz w:val="22"/>
          <w:szCs w:val="22"/>
        </w:rPr>
        <w:t>del primero de septiembre de 2014, radicación No: 25000-23-000-2009-00128-02 (1163-13), quien se pronunció al respecto en los siguientes términos:</w:t>
      </w:r>
    </w:p>
    <w:p w:rsidR="00B0443F" w:rsidRPr="00184601" w:rsidRDefault="00B0443F" w:rsidP="00045E39">
      <w:pPr>
        <w:tabs>
          <w:tab w:val="left" w:pos="6946"/>
        </w:tabs>
        <w:spacing w:line="276" w:lineRule="auto"/>
        <w:jc w:val="both"/>
        <w:rPr>
          <w:rFonts w:ascii="Arial" w:hAnsi="Arial" w:cs="Arial"/>
          <w:sz w:val="22"/>
          <w:szCs w:val="22"/>
        </w:rPr>
      </w:pPr>
    </w:p>
    <w:p w:rsidR="0069188A" w:rsidRPr="00184601" w:rsidRDefault="00E16937" w:rsidP="00045E39">
      <w:pPr>
        <w:tabs>
          <w:tab w:val="left" w:pos="6946"/>
        </w:tabs>
        <w:spacing w:line="276" w:lineRule="auto"/>
        <w:ind w:left="567" w:right="900"/>
        <w:jc w:val="both"/>
        <w:rPr>
          <w:rFonts w:ascii="Arial" w:hAnsi="Arial" w:cs="Arial"/>
          <w:i/>
          <w:sz w:val="18"/>
          <w:szCs w:val="18"/>
        </w:rPr>
      </w:pPr>
      <w:r w:rsidRPr="00184601">
        <w:rPr>
          <w:rFonts w:ascii="Arial" w:hAnsi="Arial" w:cs="Arial"/>
          <w:i/>
          <w:sz w:val="18"/>
          <w:szCs w:val="18"/>
        </w:rPr>
        <w:t xml:space="preserve">…“En primer término, señalan que no podrá pedirse la revocación directa de los actos administrativos respecto de los cuales el peticionario haya ejercitado recursos de la vía gubernativa. Lo anterior significa que existe incompatibilidad entre la procedencia de la revocatoria con el agotamiento de la vía gubernativa, por cuanto la administración ya tuvo la oportunidad de enmendar los posibles yerros de su actuación mediante los recursos”   </w:t>
      </w:r>
      <w:r w:rsidR="0069188A" w:rsidRPr="00184601">
        <w:rPr>
          <w:rFonts w:ascii="Arial" w:hAnsi="Arial" w:cs="Arial"/>
          <w:i/>
          <w:sz w:val="18"/>
          <w:szCs w:val="18"/>
        </w:rPr>
        <w:t xml:space="preserve">  </w:t>
      </w:r>
    </w:p>
    <w:p w:rsidR="00E16937" w:rsidRPr="00184601" w:rsidRDefault="00E16937" w:rsidP="00045E39">
      <w:pPr>
        <w:tabs>
          <w:tab w:val="left" w:pos="6946"/>
        </w:tabs>
        <w:spacing w:line="276" w:lineRule="auto"/>
        <w:jc w:val="both"/>
        <w:rPr>
          <w:rFonts w:ascii="Arial" w:hAnsi="Arial" w:cs="Arial"/>
          <w:i/>
          <w:sz w:val="18"/>
          <w:szCs w:val="18"/>
        </w:rPr>
      </w:pPr>
    </w:p>
    <w:p w:rsidR="00916253" w:rsidRPr="00184601" w:rsidRDefault="00916253" w:rsidP="00045E39">
      <w:pPr>
        <w:tabs>
          <w:tab w:val="left" w:pos="6946"/>
        </w:tabs>
        <w:spacing w:line="276" w:lineRule="auto"/>
        <w:jc w:val="both"/>
        <w:rPr>
          <w:rFonts w:ascii="Arial" w:hAnsi="Arial" w:cs="Arial"/>
          <w:sz w:val="22"/>
          <w:szCs w:val="22"/>
        </w:rPr>
      </w:pPr>
      <w:r w:rsidRPr="00184601">
        <w:rPr>
          <w:rFonts w:ascii="Arial" w:hAnsi="Arial" w:cs="Arial"/>
          <w:sz w:val="22"/>
          <w:szCs w:val="22"/>
        </w:rPr>
        <w:t xml:space="preserve">Así mismo, </w:t>
      </w:r>
      <w:r w:rsidR="00054CA3">
        <w:rPr>
          <w:rFonts w:ascii="Arial" w:hAnsi="Arial" w:cs="Arial"/>
          <w:sz w:val="22"/>
          <w:szCs w:val="22"/>
        </w:rPr>
        <w:t xml:space="preserve">en </w:t>
      </w:r>
      <w:r w:rsidRPr="00184601">
        <w:rPr>
          <w:rFonts w:ascii="Arial" w:hAnsi="Arial" w:cs="Arial"/>
          <w:sz w:val="22"/>
          <w:szCs w:val="22"/>
        </w:rPr>
        <w:t>pronunciamiento de la Corte Constitucional, Sentencia T-033/02, MP: Rodrigo Escobar Gil:</w:t>
      </w:r>
    </w:p>
    <w:p w:rsidR="00916253" w:rsidRPr="00184601" w:rsidRDefault="00916253" w:rsidP="00045E39">
      <w:pPr>
        <w:tabs>
          <w:tab w:val="left" w:pos="6946"/>
        </w:tabs>
        <w:spacing w:line="276" w:lineRule="auto"/>
        <w:jc w:val="both"/>
        <w:rPr>
          <w:rFonts w:ascii="Arial" w:hAnsi="Arial" w:cs="Arial"/>
          <w:i/>
          <w:sz w:val="18"/>
          <w:szCs w:val="18"/>
        </w:rPr>
      </w:pPr>
    </w:p>
    <w:p w:rsidR="00916253" w:rsidRPr="00184601" w:rsidRDefault="00916253" w:rsidP="00045E39">
      <w:pPr>
        <w:tabs>
          <w:tab w:val="left" w:pos="6946"/>
        </w:tabs>
        <w:spacing w:line="276" w:lineRule="auto"/>
        <w:ind w:left="567" w:right="900"/>
        <w:jc w:val="both"/>
        <w:rPr>
          <w:rFonts w:ascii="Arial" w:hAnsi="Arial" w:cs="Arial"/>
        </w:rPr>
      </w:pPr>
      <w:r w:rsidRPr="00184601">
        <w:rPr>
          <w:rFonts w:ascii="Arial" w:hAnsi="Arial" w:cs="Arial"/>
          <w:i/>
          <w:sz w:val="18"/>
          <w:szCs w:val="18"/>
        </w:rPr>
        <w:t>“La Corte considera que, en atención a las garantías const</w:t>
      </w:r>
      <w:r w:rsidR="005B14E1" w:rsidRPr="00184601">
        <w:rPr>
          <w:rFonts w:ascii="Arial" w:hAnsi="Arial" w:cs="Arial"/>
          <w:i/>
          <w:sz w:val="18"/>
          <w:szCs w:val="18"/>
        </w:rPr>
        <w:t>it</w:t>
      </w:r>
      <w:r w:rsidRPr="00184601">
        <w:rPr>
          <w:rFonts w:ascii="Arial" w:hAnsi="Arial" w:cs="Arial"/>
          <w:i/>
          <w:sz w:val="18"/>
          <w:szCs w:val="18"/>
        </w:rPr>
        <w:t>ucionales</w:t>
      </w:r>
      <w:r w:rsidR="005B14E1" w:rsidRPr="00184601">
        <w:rPr>
          <w:rFonts w:ascii="Arial" w:hAnsi="Arial" w:cs="Arial"/>
          <w:i/>
          <w:sz w:val="18"/>
          <w:szCs w:val="18"/>
        </w:rPr>
        <w:t xml:space="preserve"> y legales que informan los derechos al debido proceso y al acceso a la Administración de justicia (artículos 29 y229 de la Constitución), no resulta admisible</w:t>
      </w:r>
      <w:r w:rsidR="00642852" w:rsidRPr="00184601">
        <w:rPr>
          <w:rFonts w:ascii="Arial" w:hAnsi="Arial" w:cs="Arial"/>
          <w:i/>
          <w:sz w:val="18"/>
          <w:szCs w:val="18"/>
        </w:rPr>
        <w:t xml:space="preserve"> la revocatoria del acto administrativo cuando se ha hecho uso de los recursos en la vía gubernativa</w:t>
      </w:r>
      <w:r w:rsidR="009B44DD" w:rsidRPr="00184601">
        <w:rPr>
          <w:rFonts w:ascii="Arial" w:hAnsi="Arial" w:cs="Arial"/>
          <w:i/>
          <w:sz w:val="18"/>
          <w:szCs w:val="18"/>
        </w:rPr>
        <w:t>. Cuando al fallar un recurso en la vía gubernativa la Administración acude a la institución de la revocatoria directa,</w:t>
      </w:r>
      <w:r w:rsidR="00FA7DF6" w:rsidRPr="00184601">
        <w:rPr>
          <w:rFonts w:ascii="Arial" w:hAnsi="Arial" w:cs="Arial"/>
          <w:i/>
          <w:sz w:val="18"/>
          <w:szCs w:val="18"/>
        </w:rPr>
        <w:t xml:space="preserve"> se incurre en una vía de hecho por defecto orgánico y procedimental, toda vez que tal actuación resulta incompatible con el derecho al debido proceso pues se desvía por completo del procedimiento fijado en la ley para dar trámite o un determinado asunto” </w:t>
      </w:r>
      <w:r w:rsidR="009B44DD" w:rsidRPr="00184601">
        <w:rPr>
          <w:rFonts w:ascii="Arial" w:hAnsi="Arial" w:cs="Arial"/>
          <w:i/>
          <w:sz w:val="18"/>
          <w:szCs w:val="18"/>
        </w:rPr>
        <w:t xml:space="preserve"> </w:t>
      </w:r>
      <w:r w:rsidR="00642852" w:rsidRPr="00184601">
        <w:rPr>
          <w:rFonts w:ascii="Arial" w:hAnsi="Arial" w:cs="Arial"/>
          <w:i/>
          <w:sz w:val="18"/>
          <w:szCs w:val="18"/>
        </w:rPr>
        <w:t xml:space="preserve"> </w:t>
      </w:r>
      <w:r w:rsidR="005B14E1" w:rsidRPr="00184601">
        <w:rPr>
          <w:rFonts w:ascii="Arial" w:hAnsi="Arial" w:cs="Arial"/>
          <w:i/>
          <w:sz w:val="18"/>
          <w:szCs w:val="18"/>
        </w:rPr>
        <w:t xml:space="preserve">   </w:t>
      </w:r>
    </w:p>
    <w:p w:rsidR="00E16937" w:rsidRDefault="00916253" w:rsidP="00045E39">
      <w:pPr>
        <w:tabs>
          <w:tab w:val="left" w:pos="6946"/>
        </w:tabs>
        <w:spacing w:line="276" w:lineRule="auto"/>
        <w:jc w:val="both"/>
        <w:rPr>
          <w:rFonts w:ascii="Arial" w:hAnsi="Arial" w:cs="Arial"/>
        </w:rPr>
      </w:pPr>
      <w:r w:rsidRPr="00184601">
        <w:rPr>
          <w:rFonts w:ascii="Arial" w:hAnsi="Arial" w:cs="Arial"/>
        </w:rPr>
        <w:t xml:space="preserve"> </w:t>
      </w:r>
    </w:p>
    <w:p w:rsidR="00312282" w:rsidRPr="00312282" w:rsidRDefault="00BC1630" w:rsidP="00312282">
      <w:pPr>
        <w:jc w:val="both"/>
        <w:rPr>
          <w:rFonts w:ascii="Arial" w:hAnsi="Arial" w:cs="Arial"/>
          <w:sz w:val="22"/>
          <w:szCs w:val="22"/>
          <w:lang w:val="es-CO"/>
        </w:rPr>
      </w:pPr>
      <w:r>
        <w:rPr>
          <w:rFonts w:ascii="Arial" w:hAnsi="Arial" w:cs="Arial"/>
          <w:sz w:val="22"/>
          <w:szCs w:val="22"/>
        </w:rPr>
        <w:t xml:space="preserve">De lo anterior, se </w:t>
      </w:r>
      <w:r w:rsidRPr="00312282">
        <w:rPr>
          <w:rFonts w:ascii="Arial" w:hAnsi="Arial" w:cs="Arial"/>
          <w:sz w:val="22"/>
          <w:szCs w:val="22"/>
          <w:lang w:val="es-CO"/>
        </w:rPr>
        <w:t>d</w:t>
      </w:r>
      <w:r>
        <w:rPr>
          <w:rFonts w:ascii="Arial" w:hAnsi="Arial" w:cs="Arial"/>
          <w:sz w:val="22"/>
          <w:szCs w:val="22"/>
          <w:lang w:val="es-CO"/>
        </w:rPr>
        <w:t xml:space="preserve">io </w:t>
      </w:r>
      <w:r w:rsidR="00312282" w:rsidRPr="00312282">
        <w:rPr>
          <w:rFonts w:ascii="Arial" w:hAnsi="Arial" w:cs="Arial"/>
          <w:sz w:val="22"/>
          <w:szCs w:val="22"/>
          <w:lang w:val="es-CO"/>
        </w:rPr>
        <w:t xml:space="preserve">traslado de la solicitud de revocatoria a la Secretaria de Infraestructura Física a efecto de que se pronuncie sobre los hechos y las razones de derecho invocadas en los numerales 1 y 2.  </w:t>
      </w:r>
    </w:p>
    <w:p w:rsidR="00B63873" w:rsidRPr="00184601" w:rsidRDefault="00B63873" w:rsidP="00045E39">
      <w:pPr>
        <w:tabs>
          <w:tab w:val="left" w:pos="6946"/>
        </w:tabs>
        <w:jc w:val="both"/>
        <w:rPr>
          <w:rFonts w:ascii="Arial" w:hAnsi="Arial" w:cs="Arial"/>
          <w:szCs w:val="24"/>
        </w:rPr>
      </w:pPr>
    </w:p>
    <w:p w:rsidR="000F3BF4" w:rsidRPr="000F3BF4" w:rsidRDefault="000F3BF4" w:rsidP="000F3BF4">
      <w:pPr>
        <w:jc w:val="both"/>
        <w:rPr>
          <w:rFonts w:ascii="Arial" w:hAnsi="Arial" w:cs="Arial"/>
          <w:b/>
          <w:sz w:val="22"/>
          <w:szCs w:val="22"/>
        </w:rPr>
      </w:pPr>
      <w:r w:rsidRPr="000F3BF4">
        <w:rPr>
          <w:rFonts w:ascii="Arial" w:hAnsi="Arial" w:cs="Arial"/>
          <w:sz w:val="22"/>
          <w:szCs w:val="22"/>
          <w:lang w:val="es-CO"/>
        </w:rPr>
        <w:t>Este concepto se rinde con los alcances que le otorga el artículo 28 de la Ley 1755 de 2015.</w:t>
      </w:r>
    </w:p>
    <w:p w:rsidR="000F3BF4" w:rsidRPr="000F3BF4" w:rsidRDefault="000F3BF4" w:rsidP="000F3BF4">
      <w:pPr>
        <w:jc w:val="both"/>
        <w:rPr>
          <w:rFonts w:ascii="Arial" w:hAnsi="Arial" w:cs="Arial"/>
          <w:sz w:val="22"/>
          <w:szCs w:val="22"/>
        </w:rPr>
      </w:pPr>
    </w:p>
    <w:p w:rsidR="005B2FDE" w:rsidRPr="00B0443F" w:rsidRDefault="005B2FDE" w:rsidP="00045E39">
      <w:pPr>
        <w:tabs>
          <w:tab w:val="left" w:pos="6946"/>
        </w:tabs>
        <w:jc w:val="both"/>
        <w:rPr>
          <w:rFonts w:ascii="Arial" w:hAnsi="Arial" w:cs="Arial"/>
          <w:color w:val="FF0000"/>
          <w:sz w:val="22"/>
          <w:szCs w:val="22"/>
        </w:rPr>
      </w:pPr>
    </w:p>
    <w:p w:rsidR="00783573" w:rsidRPr="00184601" w:rsidRDefault="00783573" w:rsidP="00045E39">
      <w:pPr>
        <w:tabs>
          <w:tab w:val="left" w:pos="6946"/>
        </w:tabs>
        <w:jc w:val="both"/>
        <w:rPr>
          <w:rFonts w:ascii="Arial" w:hAnsi="Arial" w:cs="Arial"/>
          <w:sz w:val="22"/>
          <w:szCs w:val="22"/>
        </w:rPr>
      </w:pPr>
      <w:r w:rsidRPr="00184601">
        <w:rPr>
          <w:rFonts w:ascii="Arial" w:hAnsi="Arial" w:cs="Arial"/>
          <w:sz w:val="22"/>
          <w:szCs w:val="22"/>
        </w:rPr>
        <w:t>Respetuosamente,</w:t>
      </w:r>
    </w:p>
    <w:p w:rsidR="00783573" w:rsidRPr="00184601" w:rsidRDefault="00783573" w:rsidP="00045E39">
      <w:pPr>
        <w:tabs>
          <w:tab w:val="left" w:pos="6946"/>
        </w:tabs>
        <w:jc w:val="both"/>
        <w:rPr>
          <w:rFonts w:ascii="Arial" w:hAnsi="Arial" w:cs="Arial"/>
          <w:b/>
          <w:sz w:val="22"/>
          <w:szCs w:val="22"/>
        </w:rPr>
      </w:pPr>
    </w:p>
    <w:p w:rsidR="00783573" w:rsidRPr="00184601" w:rsidRDefault="00783573" w:rsidP="00045E39">
      <w:pPr>
        <w:tabs>
          <w:tab w:val="left" w:pos="6946"/>
        </w:tabs>
        <w:jc w:val="both"/>
        <w:rPr>
          <w:rFonts w:ascii="Arial" w:hAnsi="Arial" w:cs="Arial"/>
          <w:b/>
          <w:sz w:val="22"/>
          <w:szCs w:val="22"/>
        </w:rPr>
      </w:pPr>
    </w:p>
    <w:p w:rsidR="00F20C28" w:rsidRPr="00184601" w:rsidRDefault="00D660D8" w:rsidP="00045E39">
      <w:pPr>
        <w:tabs>
          <w:tab w:val="left" w:pos="6946"/>
        </w:tabs>
        <w:jc w:val="both"/>
        <w:rPr>
          <w:rFonts w:ascii="Arial" w:hAnsi="Arial" w:cs="Arial"/>
          <w:b/>
          <w:sz w:val="22"/>
          <w:szCs w:val="22"/>
        </w:rPr>
      </w:pPr>
      <w:r w:rsidRPr="00184601">
        <w:rPr>
          <w:rFonts w:ascii="Arial" w:hAnsi="Arial" w:cs="Arial"/>
          <w:b/>
          <w:sz w:val="22"/>
          <w:szCs w:val="22"/>
        </w:rPr>
        <w:t xml:space="preserve">SOREINE AGUIRRE PARRA </w:t>
      </w:r>
    </w:p>
    <w:p w:rsidR="00783573" w:rsidRPr="00184601" w:rsidRDefault="00783573" w:rsidP="00045E39">
      <w:pPr>
        <w:tabs>
          <w:tab w:val="left" w:pos="6946"/>
        </w:tabs>
        <w:jc w:val="both"/>
        <w:rPr>
          <w:rFonts w:ascii="Arial" w:hAnsi="Arial" w:cs="Arial"/>
          <w:sz w:val="22"/>
          <w:szCs w:val="22"/>
        </w:rPr>
      </w:pPr>
      <w:r w:rsidRPr="00184601">
        <w:rPr>
          <w:rFonts w:ascii="Arial" w:hAnsi="Arial" w:cs="Arial"/>
          <w:sz w:val="22"/>
          <w:szCs w:val="22"/>
        </w:rPr>
        <w:t>C.C. No.</w:t>
      </w:r>
      <w:r w:rsidR="00D660D8" w:rsidRPr="00184601">
        <w:rPr>
          <w:rFonts w:ascii="Arial" w:hAnsi="Arial" w:cs="Arial"/>
          <w:sz w:val="22"/>
          <w:szCs w:val="22"/>
        </w:rPr>
        <w:t xml:space="preserve">68.293.540 </w:t>
      </w:r>
      <w:r w:rsidRPr="00184601">
        <w:rPr>
          <w:rFonts w:ascii="Arial" w:hAnsi="Arial" w:cs="Arial"/>
          <w:sz w:val="22"/>
          <w:szCs w:val="22"/>
        </w:rPr>
        <w:t>de Arauca</w:t>
      </w:r>
    </w:p>
    <w:p w:rsidR="00035464" w:rsidRPr="00184601" w:rsidRDefault="00783573" w:rsidP="00BC1630">
      <w:pPr>
        <w:tabs>
          <w:tab w:val="left" w:pos="6946"/>
        </w:tabs>
        <w:jc w:val="both"/>
        <w:rPr>
          <w:rFonts w:ascii="Arial" w:hAnsi="Arial" w:cs="Arial"/>
          <w:sz w:val="22"/>
          <w:szCs w:val="22"/>
        </w:rPr>
      </w:pPr>
      <w:r w:rsidRPr="00184601">
        <w:rPr>
          <w:rFonts w:ascii="Arial" w:hAnsi="Arial" w:cs="Arial"/>
          <w:sz w:val="22"/>
          <w:szCs w:val="22"/>
        </w:rPr>
        <w:t>T.P. No.</w:t>
      </w:r>
      <w:r w:rsidR="005B06DB" w:rsidRPr="00184601">
        <w:rPr>
          <w:rFonts w:ascii="Arial" w:hAnsi="Arial" w:cs="Arial"/>
          <w:sz w:val="22"/>
          <w:szCs w:val="22"/>
        </w:rPr>
        <w:t>199</w:t>
      </w:r>
      <w:r w:rsidR="00045099">
        <w:rPr>
          <w:rFonts w:ascii="Arial" w:hAnsi="Arial" w:cs="Arial"/>
          <w:sz w:val="22"/>
          <w:szCs w:val="22"/>
        </w:rPr>
        <w:t>.</w:t>
      </w:r>
      <w:r w:rsidR="005B06DB" w:rsidRPr="00184601">
        <w:rPr>
          <w:rFonts w:ascii="Arial" w:hAnsi="Arial" w:cs="Arial"/>
          <w:sz w:val="22"/>
          <w:szCs w:val="22"/>
        </w:rPr>
        <w:t xml:space="preserve">998 </w:t>
      </w:r>
      <w:r w:rsidRPr="00184601">
        <w:rPr>
          <w:rFonts w:ascii="Arial" w:hAnsi="Arial" w:cs="Arial"/>
          <w:sz w:val="22"/>
          <w:szCs w:val="22"/>
        </w:rPr>
        <w:t>del C.S. de la J.</w:t>
      </w:r>
      <w:bookmarkStart w:id="1" w:name="_GoBack"/>
      <w:bookmarkEnd w:id="1"/>
    </w:p>
    <w:sectPr w:rsidR="00035464" w:rsidRPr="00184601" w:rsidSect="00E84B3D">
      <w:headerReference w:type="default" r:id="rId10"/>
      <w:footerReference w:type="default" r:id="rId11"/>
      <w:pgSz w:w="12240" w:h="15840"/>
      <w:pgMar w:top="1418"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099" w:rsidRDefault="00045099" w:rsidP="00A943A1">
      <w:r>
        <w:separator/>
      </w:r>
    </w:p>
  </w:endnote>
  <w:endnote w:type="continuationSeparator" w:id="0">
    <w:p w:rsidR="00045099" w:rsidRDefault="00045099" w:rsidP="00A9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099" w:rsidRPr="003A7AFB" w:rsidRDefault="00045099" w:rsidP="003A7AFB">
    <w:pPr>
      <w:pStyle w:val="Piedepgina"/>
      <w:pBdr>
        <w:top w:val="single" w:sz="12" w:space="1" w:color="auto"/>
      </w:pBdr>
      <w:jc w:val="center"/>
      <w:rPr>
        <w:rFonts w:ascii="Century Schoolbook" w:hAnsi="Century Schoolbook"/>
        <w:i/>
      </w:rPr>
    </w:pPr>
    <w:r w:rsidRPr="003A7AFB">
      <w:rPr>
        <w:rFonts w:ascii="Century Schoolbook" w:hAnsi="Century Schoolbook"/>
        <w:i/>
      </w:rPr>
      <w:t xml:space="preserve">Calle 20 Carrea 21 esquina, Oficina Jurídica </w:t>
    </w:r>
  </w:p>
  <w:p w:rsidR="00045099" w:rsidRPr="003A7AFB" w:rsidRDefault="00BC1630">
    <w:pPr>
      <w:pStyle w:val="Piedepgina"/>
      <w:jc w:val="right"/>
      <w:rPr>
        <w:rFonts w:ascii="Century Schoolbook" w:hAnsi="Century Schoolbook"/>
        <w:sz w:val="16"/>
        <w:szCs w:val="16"/>
      </w:rPr>
    </w:pPr>
    <w:sdt>
      <w:sdtPr>
        <w:rPr>
          <w:rFonts w:ascii="Century Schoolbook" w:hAnsi="Century Schoolbook"/>
          <w:i/>
        </w:rPr>
        <w:id w:val="-2134476101"/>
        <w:docPartObj>
          <w:docPartGallery w:val="Page Numbers (Bottom of Page)"/>
          <w:docPartUnique/>
        </w:docPartObj>
      </w:sdtPr>
      <w:sdtEndPr>
        <w:rPr>
          <w:sz w:val="16"/>
          <w:szCs w:val="16"/>
        </w:rPr>
      </w:sdtEndPr>
      <w:sdtContent>
        <w:r w:rsidR="00045099" w:rsidRPr="003A7AFB">
          <w:rPr>
            <w:rFonts w:ascii="Century Schoolbook" w:hAnsi="Century Schoolbook"/>
            <w:i/>
            <w:sz w:val="16"/>
            <w:szCs w:val="16"/>
          </w:rPr>
          <w:fldChar w:fldCharType="begin"/>
        </w:r>
        <w:r w:rsidR="00045099" w:rsidRPr="003A7AFB">
          <w:rPr>
            <w:rFonts w:ascii="Century Schoolbook" w:hAnsi="Century Schoolbook"/>
            <w:i/>
            <w:sz w:val="16"/>
            <w:szCs w:val="16"/>
          </w:rPr>
          <w:instrText>PAGE   \* MERGEFORMAT</w:instrText>
        </w:r>
        <w:r w:rsidR="00045099" w:rsidRPr="003A7AFB">
          <w:rPr>
            <w:rFonts w:ascii="Century Schoolbook" w:hAnsi="Century Schoolbook"/>
            <w:i/>
            <w:sz w:val="16"/>
            <w:szCs w:val="16"/>
          </w:rPr>
          <w:fldChar w:fldCharType="separate"/>
        </w:r>
        <w:r>
          <w:rPr>
            <w:rFonts w:ascii="Century Schoolbook" w:hAnsi="Century Schoolbook"/>
            <w:i/>
            <w:noProof/>
            <w:sz w:val="16"/>
            <w:szCs w:val="16"/>
          </w:rPr>
          <w:t>5</w:t>
        </w:r>
        <w:r w:rsidR="00045099" w:rsidRPr="003A7AFB">
          <w:rPr>
            <w:rFonts w:ascii="Century Schoolbook" w:hAnsi="Century Schoolbook"/>
            <w:i/>
            <w:sz w:val="16"/>
            <w:szCs w:val="16"/>
          </w:rPr>
          <w:fldChar w:fldCharType="end"/>
        </w:r>
      </w:sdtContent>
    </w:sdt>
  </w:p>
  <w:p w:rsidR="00045099" w:rsidRPr="003A7AFB" w:rsidRDefault="00045099" w:rsidP="00A943A1">
    <w:pPr>
      <w:pStyle w:val="Piedepgina"/>
      <w:jc w:val="center"/>
      <w:rPr>
        <w:rFonts w:ascii="Century Schoolbook" w:hAnsi="Century Schoolboo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099" w:rsidRDefault="00045099" w:rsidP="00A943A1">
      <w:r>
        <w:separator/>
      </w:r>
    </w:p>
  </w:footnote>
  <w:footnote w:type="continuationSeparator" w:id="0">
    <w:p w:rsidR="00045099" w:rsidRDefault="00045099" w:rsidP="00A943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099" w:rsidRPr="00A943A1" w:rsidRDefault="00045099" w:rsidP="00A943A1">
    <w:pPr>
      <w:pStyle w:val="Encabezado"/>
      <w:pBdr>
        <w:bottom w:val="double" w:sz="4" w:space="1" w:color="auto"/>
      </w:pBdr>
      <w:jc w:val="center"/>
      <w:rPr>
        <w:rFonts w:ascii="Century Schoolbook" w:hAnsi="Century Schoolbook"/>
        <w:i/>
        <w:sz w:val="28"/>
        <w:szCs w:val="28"/>
      </w:rPr>
    </w:pPr>
    <w:r>
      <w:rPr>
        <w:noProof/>
        <w:lang w:val="es-CO" w:eastAsia="es-CO"/>
      </w:rPr>
      <w:drawing>
        <wp:anchor distT="0" distB="0" distL="114300" distR="114300" simplePos="0" relativeHeight="251659264" behindDoc="1" locked="0" layoutInCell="1" allowOverlap="1" wp14:anchorId="2B802822" wp14:editId="6E90746B">
          <wp:simplePos x="0" y="0"/>
          <wp:positionH relativeFrom="column">
            <wp:posOffset>4137660</wp:posOffset>
          </wp:positionH>
          <wp:positionV relativeFrom="paragraph">
            <wp:posOffset>-141605</wp:posOffset>
          </wp:positionV>
          <wp:extent cx="506095" cy="931545"/>
          <wp:effectExtent l="0" t="0" r="8255" b="1905"/>
          <wp:wrapTight wrapText="bothSides">
            <wp:wrapPolygon edited="0">
              <wp:start x="14635" y="0"/>
              <wp:lineTo x="8130" y="883"/>
              <wp:lineTo x="1626" y="4859"/>
              <wp:lineTo x="0" y="9276"/>
              <wp:lineTo x="0" y="12810"/>
              <wp:lineTo x="2439" y="21202"/>
              <wp:lineTo x="14635" y="21202"/>
              <wp:lineTo x="15448" y="21202"/>
              <wp:lineTo x="13009" y="14135"/>
              <wp:lineTo x="21139" y="8393"/>
              <wp:lineTo x="21139" y="0"/>
              <wp:lineTo x="14635" y="0"/>
            </wp:wrapPolygon>
          </wp:wrapTight>
          <wp:docPr id="1" name="Imagen 1" descr="https://laboutiquedehermes.files.wordpress.com/2010/03/justic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aboutiquedehermes.files.wordpress.com/2010/03/justice2.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931545"/>
                  </a:xfrm>
                  <a:prstGeom prst="rect">
                    <a:avLst/>
                  </a:prstGeom>
                  <a:noFill/>
                  <a:ln>
                    <a:noFill/>
                  </a:ln>
                </pic:spPr>
              </pic:pic>
            </a:graphicData>
          </a:graphic>
          <wp14:sizeRelH relativeFrom="page">
            <wp14:pctWidth>0</wp14:pctWidth>
          </wp14:sizeRelH>
          <wp14:sizeRelV relativeFrom="page">
            <wp14:pctHeight>0</wp14:pctHeight>
          </wp14:sizeRelV>
        </wp:anchor>
      </w:drawing>
    </w:r>
    <w:r>
      <w:br/>
    </w:r>
    <w:r w:rsidRPr="00A943A1">
      <w:rPr>
        <w:rFonts w:ascii="Century Schoolbook" w:hAnsi="Century Schoolbook"/>
        <w:i/>
        <w:sz w:val="28"/>
        <w:szCs w:val="28"/>
      </w:rPr>
      <w:t xml:space="preserve">Soreine Aguirre Parra </w:t>
    </w:r>
  </w:p>
  <w:p w:rsidR="00045099" w:rsidRDefault="00045099" w:rsidP="00A943A1">
    <w:pPr>
      <w:pStyle w:val="Encabezado"/>
      <w:pBdr>
        <w:bottom w:val="double" w:sz="4" w:space="1" w:color="auto"/>
      </w:pBdr>
      <w:jc w:val="center"/>
      <w:rPr>
        <w:rFonts w:ascii="Century Schoolbook" w:hAnsi="Century Schoolbook"/>
        <w:i/>
        <w:sz w:val="28"/>
        <w:szCs w:val="28"/>
      </w:rPr>
    </w:pPr>
    <w:r w:rsidRPr="00A943A1">
      <w:rPr>
        <w:rFonts w:ascii="Century Schoolbook" w:hAnsi="Century Schoolbook"/>
        <w:i/>
        <w:sz w:val="28"/>
        <w:szCs w:val="28"/>
      </w:rPr>
      <w:t xml:space="preserve">Abogada </w:t>
    </w:r>
  </w:p>
  <w:p w:rsidR="00045099" w:rsidRDefault="00045099" w:rsidP="00A943A1">
    <w:pPr>
      <w:pStyle w:val="Encabezado"/>
      <w:pBdr>
        <w:bottom w:val="double" w:sz="4" w:space="1" w:color="auto"/>
      </w:pBdr>
      <w:jc w:val="center"/>
      <w:rPr>
        <w:rFonts w:ascii="Century Schoolbook" w:hAnsi="Century Schoolbook"/>
        <w:i/>
        <w:sz w:val="28"/>
        <w:szCs w:val="28"/>
      </w:rPr>
    </w:pPr>
  </w:p>
  <w:p w:rsidR="00045099" w:rsidRPr="00A943A1" w:rsidRDefault="00045099" w:rsidP="00A943A1">
    <w:pPr>
      <w:pStyle w:val="Encabezado"/>
      <w:pBdr>
        <w:bottom w:val="double" w:sz="4" w:space="1" w:color="auto"/>
      </w:pBdr>
      <w:jc w:val="center"/>
      <w:rPr>
        <w:rFonts w:ascii="Century Schoolbook" w:hAnsi="Century Schoolbook"/>
        <w:i/>
        <w:sz w:val="28"/>
        <w:szCs w:val="28"/>
      </w:rPr>
    </w:pPr>
  </w:p>
  <w:p w:rsidR="00045099" w:rsidRDefault="0004509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5pt;height:11.25pt" o:bullet="t">
        <v:imagedata r:id="rId1" o:title="BD10263_"/>
      </v:shape>
    </w:pict>
  </w:numPicBullet>
  <w:abstractNum w:abstractNumId="0">
    <w:nsid w:val="04F13049"/>
    <w:multiLevelType w:val="hybridMultilevel"/>
    <w:tmpl w:val="22B247D8"/>
    <w:lvl w:ilvl="0" w:tplc="240A0001">
      <w:start w:val="1"/>
      <w:numFmt w:val="bullet"/>
      <w:lvlText w:val=""/>
      <w:lvlJc w:val="left"/>
      <w:pPr>
        <w:tabs>
          <w:tab w:val="num" w:pos="720"/>
        </w:tabs>
        <w:ind w:left="720" w:hanging="360"/>
      </w:pPr>
      <w:rPr>
        <w:rFonts w:ascii="Symbol" w:hAnsi="Symbol" w:hint="default"/>
      </w:rPr>
    </w:lvl>
    <w:lvl w:ilvl="1" w:tplc="240A0003" w:tentative="1">
      <w:start w:val="1"/>
      <w:numFmt w:val="bullet"/>
      <w:lvlText w:val="o"/>
      <w:lvlJc w:val="left"/>
      <w:pPr>
        <w:tabs>
          <w:tab w:val="num" w:pos="1440"/>
        </w:tabs>
        <w:ind w:left="1440" w:hanging="360"/>
      </w:pPr>
      <w:rPr>
        <w:rFonts w:ascii="Courier New" w:hAnsi="Courier New" w:cs="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cs="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cs="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abstractNum w:abstractNumId="1">
    <w:nsid w:val="057D3B29"/>
    <w:multiLevelType w:val="hybridMultilevel"/>
    <w:tmpl w:val="C5A49864"/>
    <w:lvl w:ilvl="0" w:tplc="240A000F">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
    <w:nsid w:val="0EC143FC"/>
    <w:multiLevelType w:val="hybridMultilevel"/>
    <w:tmpl w:val="D8BE70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220001C4"/>
    <w:multiLevelType w:val="hybridMultilevel"/>
    <w:tmpl w:val="893405F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44B51A0C"/>
    <w:multiLevelType w:val="hybridMultilevel"/>
    <w:tmpl w:val="B1E41E4E"/>
    <w:lvl w:ilvl="0" w:tplc="1D548B6E">
      <w:start w:val="1"/>
      <w:numFmt w:val="decimal"/>
      <w:lvlText w:val="%1."/>
      <w:lvlJc w:val="left"/>
      <w:pPr>
        <w:tabs>
          <w:tab w:val="num" w:pos="720"/>
        </w:tabs>
        <w:ind w:left="720" w:hanging="360"/>
      </w:pPr>
      <w:rPr>
        <w:b/>
      </w:rPr>
    </w:lvl>
    <w:lvl w:ilvl="1" w:tplc="240A0019" w:tentative="1">
      <w:start w:val="1"/>
      <w:numFmt w:val="lowerLetter"/>
      <w:lvlText w:val="%2."/>
      <w:lvlJc w:val="left"/>
      <w:pPr>
        <w:tabs>
          <w:tab w:val="num" w:pos="1440"/>
        </w:tabs>
        <w:ind w:left="1440" w:hanging="360"/>
      </w:pPr>
    </w:lvl>
    <w:lvl w:ilvl="2" w:tplc="240A001B" w:tentative="1">
      <w:start w:val="1"/>
      <w:numFmt w:val="lowerRoman"/>
      <w:lvlText w:val="%3."/>
      <w:lvlJc w:val="right"/>
      <w:pPr>
        <w:tabs>
          <w:tab w:val="num" w:pos="2160"/>
        </w:tabs>
        <w:ind w:left="2160" w:hanging="180"/>
      </w:pPr>
    </w:lvl>
    <w:lvl w:ilvl="3" w:tplc="240A000F" w:tentative="1">
      <w:start w:val="1"/>
      <w:numFmt w:val="decimal"/>
      <w:lvlText w:val="%4."/>
      <w:lvlJc w:val="left"/>
      <w:pPr>
        <w:tabs>
          <w:tab w:val="num" w:pos="2880"/>
        </w:tabs>
        <w:ind w:left="2880" w:hanging="360"/>
      </w:pPr>
    </w:lvl>
    <w:lvl w:ilvl="4" w:tplc="240A0019" w:tentative="1">
      <w:start w:val="1"/>
      <w:numFmt w:val="lowerLetter"/>
      <w:lvlText w:val="%5."/>
      <w:lvlJc w:val="left"/>
      <w:pPr>
        <w:tabs>
          <w:tab w:val="num" w:pos="3600"/>
        </w:tabs>
        <w:ind w:left="3600" w:hanging="360"/>
      </w:pPr>
    </w:lvl>
    <w:lvl w:ilvl="5" w:tplc="240A001B" w:tentative="1">
      <w:start w:val="1"/>
      <w:numFmt w:val="lowerRoman"/>
      <w:lvlText w:val="%6."/>
      <w:lvlJc w:val="right"/>
      <w:pPr>
        <w:tabs>
          <w:tab w:val="num" w:pos="4320"/>
        </w:tabs>
        <w:ind w:left="4320" w:hanging="180"/>
      </w:pPr>
    </w:lvl>
    <w:lvl w:ilvl="6" w:tplc="240A000F" w:tentative="1">
      <w:start w:val="1"/>
      <w:numFmt w:val="decimal"/>
      <w:lvlText w:val="%7."/>
      <w:lvlJc w:val="left"/>
      <w:pPr>
        <w:tabs>
          <w:tab w:val="num" w:pos="5040"/>
        </w:tabs>
        <w:ind w:left="5040" w:hanging="360"/>
      </w:pPr>
    </w:lvl>
    <w:lvl w:ilvl="7" w:tplc="240A0019" w:tentative="1">
      <w:start w:val="1"/>
      <w:numFmt w:val="lowerLetter"/>
      <w:lvlText w:val="%8."/>
      <w:lvlJc w:val="left"/>
      <w:pPr>
        <w:tabs>
          <w:tab w:val="num" w:pos="5760"/>
        </w:tabs>
        <w:ind w:left="5760" w:hanging="360"/>
      </w:pPr>
    </w:lvl>
    <w:lvl w:ilvl="8" w:tplc="240A001B" w:tentative="1">
      <w:start w:val="1"/>
      <w:numFmt w:val="lowerRoman"/>
      <w:lvlText w:val="%9."/>
      <w:lvlJc w:val="right"/>
      <w:pPr>
        <w:tabs>
          <w:tab w:val="num" w:pos="6480"/>
        </w:tabs>
        <w:ind w:left="6480" w:hanging="180"/>
      </w:pPr>
    </w:lvl>
  </w:abstractNum>
  <w:abstractNum w:abstractNumId="5">
    <w:nsid w:val="4C9E1454"/>
    <w:multiLevelType w:val="hybridMultilevel"/>
    <w:tmpl w:val="FE2C7F36"/>
    <w:lvl w:ilvl="0" w:tplc="83AE16C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5394237D"/>
    <w:multiLevelType w:val="hybridMultilevel"/>
    <w:tmpl w:val="7BFAAD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59D7556E"/>
    <w:multiLevelType w:val="hybridMultilevel"/>
    <w:tmpl w:val="5378AC50"/>
    <w:lvl w:ilvl="0" w:tplc="240A0007">
      <w:start w:val="1"/>
      <w:numFmt w:val="bullet"/>
      <w:lvlText w:val=""/>
      <w:lvlPicBulletId w:val="0"/>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
    <w:nsid w:val="70D5770D"/>
    <w:multiLevelType w:val="hybridMultilevel"/>
    <w:tmpl w:val="A55C2770"/>
    <w:lvl w:ilvl="0" w:tplc="8D3001BA">
      <w:start w:val="1"/>
      <w:numFmt w:val="decimal"/>
      <w:lvlText w:val="%1."/>
      <w:lvlJc w:val="left"/>
      <w:pPr>
        <w:ind w:left="1068" w:hanging="360"/>
      </w:pPr>
      <w:rPr>
        <w:rFonts w:ascii="Arial" w:hAnsi="Arial" w:cs="Arial" w:hint="default"/>
        <w:color w:val="333333"/>
        <w:sz w:val="21"/>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9">
    <w:nsid w:val="7C047E00"/>
    <w:multiLevelType w:val="hybridMultilevel"/>
    <w:tmpl w:val="480E9D16"/>
    <w:lvl w:ilvl="0" w:tplc="F28C83D0">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abstractNumId w:val="4"/>
  </w:num>
  <w:num w:numId="2">
    <w:abstractNumId w:val="0"/>
  </w:num>
  <w:num w:numId="3">
    <w:abstractNumId w:val="3"/>
  </w:num>
  <w:num w:numId="4">
    <w:abstractNumId w:val="6"/>
  </w:num>
  <w:num w:numId="5">
    <w:abstractNumId w:val="5"/>
  </w:num>
  <w:num w:numId="6">
    <w:abstractNumId w:val="1"/>
  </w:num>
  <w:num w:numId="7">
    <w:abstractNumId w:val="7"/>
  </w:num>
  <w:num w:numId="8">
    <w:abstractNumId w:val="2"/>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3A1"/>
    <w:rsid w:val="0001633D"/>
    <w:rsid w:val="0003299D"/>
    <w:rsid w:val="00035464"/>
    <w:rsid w:val="00037B12"/>
    <w:rsid w:val="000404CA"/>
    <w:rsid w:val="00045099"/>
    <w:rsid w:val="00045E39"/>
    <w:rsid w:val="00054CA3"/>
    <w:rsid w:val="00070934"/>
    <w:rsid w:val="00075BCE"/>
    <w:rsid w:val="000D770A"/>
    <w:rsid w:val="000E4AC0"/>
    <w:rsid w:val="000F027E"/>
    <w:rsid w:val="000F03DE"/>
    <w:rsid w:val="000F3BF4"/>
    <w:rsid w:val="00127153"/>
    <w:rsid w:val="0013167E"/>
    <w:rsid w:val="00156ADE"/>
    <w:rsid w:val="0016118B"/>
    <w:rsid w:val="0017157E"/>
    <w:rsid w:val="00184601"/>
    <w:rsid w:val="00195957"/>
    <w:rsid w:val="001D17F8"/>
    <w:rsid w:val="001D3C11"/>
    <w:rsid w:val="002018D9"/>
    <w:rsid w:val="00220292"/>
    <w:rsid w:val="00250D1D"/>
    <w:rsid w:val="00251CFB"/>
    <w:rsid w:val="00265E59"/>
    <w:rsid w:val="00270F93"/>
    <w:rsid w:val="00272A25"/>
    <w:rsid w:val="002C72A5"/>
    <w:rsid w:val="002D0268"/>
    <w:rsid w:val="002E1F29"/>
    <w:rsid w:val="002E6467"/>
    <w:rsid w:val="002E6C27"/>
    <w:rsid w:val="00304171"/>
    <w:rsid w:val="00312282"/>
    <w:rsid w:val="00357198"/>
    <w:rsid w:val="00371CDD"/>
    <w:rsid w:val="00377677"/>
    <w:rsid w:val="003833F1"/>
    <w:rsid w:val="003A6699"/>
    <w:rsid w:val="003A7AFB"/>
    <w:rsid w:val="003B47BC"/>
    <w:rsid w:val="003C3A63"/>
    <w:rsid w:val="003D5CDA"/>
    <w:rsid w:val="003D5E11"/>
    <w:rsid w:val="003F6B60"/>
    <w:rsid w:val="004101F0"/>
    <w:rsid w:val="00415119"/>
    <w:rsid w:val="00420E6F"/>
    <w:rsid w:val="00437621"/>
    <w:rsid w:val="00454B0C"/>
    <w:rsid w:val="0046450A"/>
    <w:rsid w:val="00487F0A"/>
    <w:rsid w:val="004902BC"/>
    <w:rsid w:val="004D3AAF"/>
    <w:rsid w:val="004D4C6D"/>
    <w:rsid w:val="00524BEC"/>
    <w:rsid w:val="005318C7"/>
    <w:rsid w:val="005463B5"/>
    <w:rsid w:val="005535D0"/>
    <w:rsid w:val="0056353F"/>
    <w:rsid w:val="005702F5"/>
    <w:rsid w:val="00584666"/>
    <w:rsid w:val="005A160F"/>
    <w:rsid w:val="005B06DB"/>
    <w:rsid w:val="005B14E1"/>
    <w:rsid w:val="005B2FDE"/>
    <w:rsid w:val="005B3B09"/>
    <w:rsid w:val="005C04A6"/>
    <w:rsid w:val="005C0616"/>
    <w:rsid w:val="005D567D"/>
    <w:rsid w:val="005E63BC"/>
    <w:rsid w:val="00620C92"/>
    <w:rsid w:val="00640F3B"/>
    <w:rsid w:val="00642852"/>
    <w:rsid w:val="00645E37"/>
    <w:rsid w:val="006538C9"/>
    <w:rsid w:val="00681D36"/>
    <w:rsid w:val="0069188A"/>
    <w:rsid w:val="00694C46"/>
    <w:rsid w:val="006A332E"/>
    <w:rsid w:val="006A36F2"/>
    <w:rsid w:val="006C5432"/>
    <w:rsid w:val="006E369D"/>
    <w:rsid w:val="00700E2F"/>
    <w:rsid w:val="00704DD1"/>
    <w:rsid w:val="00720CE2"/>
    <w:rsid w:val="007459C8"/>
    <w:rsid w:val="00783573"/>
    <w:rsid w:val="00793D3E"/>
    <w:rsid w:val="007C069B"/>
    <w:rsid w:val="0080763B"/>
    <w:rsid w:val="008153C1"/>
    <w:rsid w:val="00837CA3"/>
    <w:rsid w:val="00843DB1"/>
    <w:rsid w:val="00874ACD"/>
    <w:rsid w:val="008D4464"/>
    <w:rsid w:val="008D63FE"/>
    <w:rsid w:val="008F1C15"/>
    <w:rsid w:val="00916253"/>
    <w:rsid w:val="00954F1B"/>
    <w:rsid w:val="00963CD4"/>
    <w:rsid w:val="00973D02"/>
    <w:rsid w:val="00973F0E"/>
    <w:rsid w:val="009B44DD"/>
    <w:rsid w:val="009D034F"/>
    <w:rsid w:val="009E024C"/>
    <w:rsid w:val="009E362B"/>
    <w:rsid w:val="009E370B"/>
    <w:rsid w:val="009E5661"/>
    <w:rsid w:val="00A24C0D"/>
    <w:rsid w:val="00A41645"/>
    <w:rsid w:val="00A67154"/>
    <w:rsid w:val="00A77E4E"/>
    <w:rsid w:val="00A943A1"/>
    <w:rsid w:val="00AA457E"/>
    <w:rsid w:val="00AC0A07"/>
    <w:rsid w:val="00AC204B"/>
    <w:rsid w:val="00AC32E9"/>
    <w:rsid w:val="00AE2FC4"/>
    <w:rsid w:val="00AE36DB"/>
    <w:rsid w:val="00B0443F"/>
    <w:rsid w:val="00B065ED"/>
    <w:rsid w:val="00B078E2"/>
    <w:rsid w:val="00B24A64"/>
    <w:rsid w:val="00B63873"/>
    <w:rsid w:val="00B74580"/>
    <w:rsid w:val="00BB28FE"/>
    <w:rsid w:val="00BB6526"/>
    <w:rsid w:val="00BC1630"/>
    <w:rsid w:val="00C05E00"/>
    <w:rsid w:val="00C15A5C"/>
    <w:rsid w:val="00C16F96"/>
    <w:rsid w:val="00C30CEA"/>
    <w:rsid w:val="00C636EC"/>
    <w:rsid w:val="00C7279D"/>
    <w:rsid w:val="00C816A9"/>
    <w:rsid w:val="00CC0719"/>
    <w:rsid w:val="00CE357A"/>
    <w:rsid w:val="00D301CF"/>
    <w:rsid w:val="00D34D21"/>
    <w:rsid w:val="00D660D8"/>
    <w:rsid w:val="00D67E8D"/>
    <w:rsid w:val="00D90836"/>
    <w:rsid w:val="00D965C7"/>
    <w:rsid w:val="00D9799B"/>
    <w:rsid w:val="00DB5DB7"/>
    <w:rsid w:val="00DD26CF"/>
    <w:rsid w:val="00DE56A7"/>
    <w:rsid w:val="00E02D5E"/>
    <w:rsid w:val="00E16937"/>
    <w:rsid w:val="00E170D4"/>
    <w:rsid w:val="00E22BE1"/>
    <w:rsid w:val="00E71AF7"/>
    <w:rsid w:val="00E84B3D"/>
    <w:rsid w:val="00E93102"/>
    <w:rsid w:val="00E97FF6"/>
    <w:rsid w:val="00EB59E0"/>
    <w:rsid w:val="00EB7E30"/>
    <w:rsid w:val="00F20C28"/>
    <w:rsid w:val="00F863EB"/>
    <w:rsid w:val="00F96223"/>
    <w:rsid w:val="00FA7DF6"/>
    <w:rsid w:val="00FB286F"/>
    <w:rsid w:val="00FE5E4E"/>
    <w:rsid w:val="00FF2C3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C46"/>
    <w:pPr>
      <w:spacing w:after="0" w:line="240" w:lineRule="auto"/>
    </w:pPr>
    <w:rPr>
      <w:rFonts w:ascii="Times New Roman" w:eastAsia="Times New Roman" w:hAnsi="Times New Roman" w:cs="Times New Roman"/>
      <w:sz w:val="20"/>
      <w:szCs w:val="20"/>
      <w:lang w:val="es-ES" w:eastAsia="es-MX"/>
    </w:rPr>
  </w:style>
  <w:style w:type="paragraph" w:styleId="Ttulo1">
    <w:name w:val="heading 1"/>
    <w:basedOn w:val="Normal"/>
    <w:next w:val="Normal"/>
    <w:link w:val="Ttulo1Car"/>
    <w:qFormat/>
    <w:rsid w:val="00694C46"/>
    <w:pPr>
      <w:keepNext/>
      <w:outlineLvl w:val="0"/>
    </w:pPr>
    <w:rPr>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943A1"/>
    <w:rPr>
      <w:rFonts w:ascii="Tahoma" w:hAnsi="Tahoma" w:cs="Tahoma"/>
      <w:sz w:val="16"/>
      <w:szCs w:val="16"/>
    </w:rPr>
  </w:style>
  <w:style w:type="character" w:customStyle="1" w:styleId="TextodegloboCar">
    <w:name w:val="Texto de globo Car"/>
    <w:basedOn w:val="Fuentedeprrafopredeter"/>
    <w:link w:val="Textodeglobo"/>
    <w:uiPriority w:val="99"/>
    <w:semiHidden/>
    <w:rsid w:val="00A943A1"/>
    <w:rPr>
      <w:rFonts w:ascii="Tahoma" w:hAnsi="Tahoma" w:cs="Tahoma"/>
      <w:sz w:val="16"/>
      <w:szCs w:val="16"/>
    </w:rPr>
  </w:style>
  <w:style w:type="paragraph" w:styleId="Encabezado">
    <w:name w:val="header"/>
    <w:basedOn w:val="Normal"/>
    <w:link w:val="EncabezadoCar"/>
    <w:uiPriority w:val="99"/>
    <w:unhideWhenUsed/>
    <w:rsid w:val="00A943A1"/>
    <w:pPr>
      <w:tabs>
        <w:tab w:val="center" w:pos="4419"/>
        <w:tab w:val="right" w:pos="8838"/>
      </w:tabs>
    </w:pPr>
  </w:style>
  <w:style w:type="character" w:customStyle="1" w:styleId="EncabezadoCar">
    <w:name w:val="Encabezado Car"/>
    <w:basedOn w:val="Fuentedeprrafopredeter"/>
    <w:link w:val="Encabezado"/>
    <w:uiPriority w:val="99"/>
    <w:rsid w:val="00A943A1"/>
  </w:style>
  <w:style w:type="paragraph" w:styleId="Piedepgina">
    <w:name w:val="footer"/>
    <w:basedOn w:val="Normal"/>
    <w:link w:val="PiedepginaCar"/>
    <w:uiPriority w:val="99"/>
    <w:unhideWhenUsed/>
    <w:rsid w:val="00A943A1"/>
    <w:pPr>
      <w:tabs>
        <w:tab w:val="center" w:pos="4419"/>
        <w:tab w:val="right" w:pos="8838"/>
      </w:tabs>
    </w:pPr>
  </w:style>
  <w:style w:type="character" w:customStyle="1" w:styleId="PiedepginaCar">
    <w:name w:val="Pie de página Car"/>
    <w:basedOn w:val="Fuentedeprrafopredeter"/>
    <w:link w:val="Piedepgina"/>
    <w:uiPriority w:val="99"/>
    <w:rsid w:val="00A943A1"/>
  </w:style>
  <w:style w:type="paragraph" w:styleId="Sinespaciado">
    <w:name w:val="No Spacing"/>
    <w:link w:val="SinespaciadoCar"/>
    <w:uiPriority w:val="1"/>
    <w:qFormat/>
    <w:rsid w:val="00A943A1"/>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A943A1"/>
    <w:rPr>
      <w:rFonts w:eastAsiaTheme="minorEastAsia"/>
      <w:lang w:eastAsia="es-CO"/>
    </w:rPr>
  </w:style>
  <w:style w:type="character" w:customStyle="1" w:styleId="Ttulo1Car">
    <w:name w:val="Título 1 Car"/>
    <w:basedOn w:val="Fuentedeprrafopredeter"/>
    <w:link w:val="Ttulo1"/>
    <w:rsid w:val="00694C46"/>
    <w:rPr>
      <w:rFonts w:ascii="Times New Roman" w:eastAsia="Times New Roman" w:hAnsi="Times New Roman" w:cs="Times New Roman"/>
      <w:sz w:val="24"/>
      <w:szCs w:val="20"/>
      <w:lang w:val="es-MX" w:eastAsia="es-MX"/>
    </w:rPr>
  </w:style>
  <w:style w:type="paragraph" w:styleId="Textoindependiente">
    <w:name w:val="Body Text"/>
    <w:basedOn w:val="Normal"/>
    <w:link w:val="TextoindependienteCar"/>
    <w:rsid w:val="00694C46"/>
    <w:pPr>
      <w:jc w:val="both"/>
    </w:pPr>
    <w:rPr>
      <w:sz w:val="24"/>
    </w:rPr>
  </w:style>
  <w:style w:type="character" w:customStyle="1" w:styleId="TextoindependienteCar">
    <w:name w:val="Texto independiente Car"/>
    <w:basedOn w:val="Fuentedeprrafopredeter"/>
    <w:link w:val="Textoindependiente"/>
    <w:rsid w:val="00694C46"/>
    <w:rPr>
      <w:rFonts w:ascii="Times New Roman" w:eastAsia="Times New Roman" w:hAnsi="Times New Roman" w:cs="Times New Roman"/>
      <w:sz w:val="24"/>
      <w:szCs w:val="20"/>
      <w:lang w:val="es-ES" w:eastAsia="es-MX"/>
    </w:rPr>
  </w:style>
  <w:style w:type="paragraph" w:styleId="Textoindependiente3">
    <w:name w:val="Body Text 3"/>
    <w:basedOn w:val="Normal"/>
    <w:link w:val="Textoindependiente3Car"/>
    <w:rsid w:val="00694C46"/>
    <w:pPr>
      <w:spacing w:after="120"/>
    </w:pPr>
    <w:rPr>
      <w:sz w:val="16"/>
      <w:szCs w:val="16"/>
    </w:rPr>
  </w:style>
  <w:style w:type="character" w:customStyle="1" w:styleId="Textoindependiente3Car">
    <w:name w:val="Texto independiente 3 Car"/>
    <w:basedOn w:val="Fuentedeprrafopredeter"/>
    <w:link w:val="Textoindependiente3"/>
    <w:rsid w:val="00694C46"/>
    <w:rPr>
      <w:rFonts w:ascii="Times New Roman" w:eastAsia="Times New Roman" w:hAnsi="Times New Roman" w:cs="Times New Roman"/>
      <w:sz w:val="16"/>
      <w:szCs w:val="16"/>
      <w:lang w:val="es-ES" w:eastAsia="es-MX"/>
    </w:rPr>
  </w:style>
  <w:style w:type="character" w:styleId="Refdenotaalpie">
    <w:name w:val="footnote reference"/>
    <w:aliases w:val="Ref. de nota al pie 2"/>
    <w:basedOn w:val="Fuentedeprrafopredeter"/>
    <w:uiPriority w:val="99"/>
    <w:semiHidden/>
    <w:rsid w:val="00783573"/>
    <w:rPr>
      <w:vertAlign w:val="superscript"/>
    </w:rPr>
  </w:style>
  <w:style w:type="paragraph" w:styleId="Textonotapie">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TextonotapieCar"/>
    <w:uiPriority w:val="99"/>
    <w:semiHidden/>
    <w:rsid w:val="00783573"/>
    <w:rPr>
      <w:rFonts w:ascii="Arial" w:hAnsi="Arial"/>
      <w:lang w:val="es-CO" w:eastAsia="es-ES"/>
    </w:rPr>
  </w:style>
  <w:style w:type="character" w:customStyle="1" w:styleId="TextonotapieCar">
    <w:name w:val="Texto nota pie Car"/>
    <w:aliases w:val="Texto nota pie Car Car Car1,Texto nota pie Car1 Car Car Car,Texto nota pie Car Car Car Car,Footnote Text Char Char Char Char Char Car,Footnote Text Char Char Char Char Car,Footnote reference Car,FA Fu Car,Footnote Text Cha Car"/>
    <w:basedOn w:val="Fuentedeprrafopredeter"/>
    <w:link w:val="Textonotapie"/>
    <w:uiPriority w:val="99"/>
    <w:semiHidden/>
    <w:rsid w:val="00783573"/>
    <w:rPr>
      <w:rFonts w:ascii="Arial" w:eastAsia="Times New Roman" w:hAnsi="Arial" w:cs="Times New Roman"/>
      <w:sz w:val="20"/>
      <w:szCs w:val="20"/>
      <w:lang w:eastAsia="es-ES"/>
    </w:rPr>
  </w:style>
  <w:style w:type="table" w:customStyle="1" w:styleId="Tablanormal11">
    <w:name w:val="Tabla normal 11"/>
    <w:basedOn w:val="Tablanormal"/>
    <w:uiPriority w:val="41"/>
    <w:rsid w:val="00783573"/>
    <w:pPr>
      <w:spacing w:after="0" w:line="240" w:lineRule="auto"/>
    </w:pPr>
    <w:rPr>
      <w:rFonts w:eastAsiaTheme="minorEastAsia"/>
      <w:lang w:eastAsia="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basedOn w:val="Normal"/>
    <w:uiPriority w:val="34"/>
    <w:qFormat/>
    <w:rsid w:val="00973F0E"/>
    <w:pPr>
      <w:ind w:left="720"/>
      <w:contextualSpacing/>
    </w:pPr>
  </w:style>
  <w:style w:type="paragraph" w:styleId="NormalWeb">
    <w:name w:val="Normal (Web)"/>
    <w:basedOn w:val="Normal"/>
    <w:uiPriority w:val="99"/>
    <w:unhideWhenUsed/>
    <w:rsid w:val="00973D02"/>
    <w:pPr>
      <w:spacing w:before="100" w:beforeAutospacing="1" w:after="100" w:afterAutospacing="1"/>
    </w:pPr>
    <w:rPr>
      <w:sz w:val="24"/>
      <w:szCs w:val="24"/>
      <w:lang w:val="es-CO" w:eastAsia="es-CO"/>
    </w:rPr>
  </w:style>
  <w:style w:type="paragraph" w:styleId="Ttulo">
    <w:name w:val="Title"/>
    <w:basedOn w:val="Normal"/>
    <w:link w:val="TtuloCar"/>
    <w:qFormat/>
    <w:rsid w:val="004101F0"/>
    <w:pPr>
      <w:spacing w:line="360" w:lineRule="auto"/>
      <w:jc w:val="center"/>
    </w:pPr>
    <w:rPr>
      <w:rFonts w:ascii="Arial" w:hAnsi="Arial" w:cs="Arial"/>
      <w:b/>
      <w:bCs/>
      <w:sz w:val="24"/>
      <w:szCs w:val="24"/>
      <w:lang w:val="es-CO" w:eastAsia="es-ES"/>
    </w:rPr>
  </w:style>
  <w:style w:type="character" w:customStyle="1" w:styleId="TtuloCar">
    <w:name w:val="Título Car"/>
    <w:basedOn w:val="Fuentedeprrafopredeter"/>
    <w:link w:val="Ttulo"/>
    <w:rsid w:val="004101F0"/>
    <w:rPr>
      <w:rFonts w:ascii="Arial" w:eastAsia="Times New Roman" w:hAnsi="Arial" w:cs="Arial"/>
      <w:b/>
      <w:bCs/>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C46"/>
    <w:pPr>
      <w:spacing w:after="0" w:line="240" w:lineRule="auto"/>
    </w:pPr>
    <w:rPr>
      <w:rFonts w:ascii="Times New Roman" w:eastAsia="Times New Roman" w:hAnsi="Times New Roman" w:cs="Times New Roman"/>
      <w:sz w:val="20"/>
      <w:szCs w:val="20"/>
      <w:lang w:val="es-ES" w:eastAsia="es-MX"/>
    </w:rPr>
  </w:style>
  <w:style w:type="paragraph" w:styleId="Ttulo1">
    <w:name w:val="heading 1"/>
    <w:basedOn w:val="Normal"/>
    <w:next w:val="Normal"/>
    <w:link w:val="Ttulo1Car"/>
    <w:qFormat/>
    <w:rsid w:val="00694C46"/>
    <w:pPr>
      <w:keepNext/>
      <w:outlineLvl w:val="0"/>
    </w:pPr>
    <w:rPr>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943A1"/>
    <w:rPr>
      <w:rFonts w:ascii="Tahoma" w:hAnsi="Tahoma" w:cs="Tahoma"/>
      <w:sz w:val="16"/>
      <w:szCs w:val="16"/>
    </w:rPr>
  </w:style>
  <w:style w:type="character" w:customStyle="1" w:styleId="TextodegloboCar">
    <w:name w:val="Texto de globo Car"/>
    <w:basedOn w:val="Fuentedeprrafopredeter"/>
    <w:link w:val="Textodeglobo"/>
    <w:uiPriority w:val="99"/>
    <w:semiHidden/>
    <w:rsid w:val="00A943A1"/>
    <w:rPr>
      <w:rFonts w:ascii="Tahoma" w:hAnsi="Tahoma" w:cs="Tahoma"/>
      <w:sz w:val="16"/>
      <w:szCs w:val="16"/>
    </w:rPr>
  </w:style>
  <w:style w:type="paragraph" w:styleId="Encabezado">
    <w:name w:val="header"/>
    <w:basedOn w:val="Normal"/>
    <w:link w:val="EncabezadoCar"/>
    <w:uiPriority w:val="99"/>
    <w:unhideWhenUsed/>
    <w:rsid w:val="00A943A1"/>
    <w:pPr>
      <w:tabs>
        <w:tab w:val="center" w:pos="4419"/>
        <w:tab w:val="right" w:pos="8838"/>
      </w:tabs>
    </w:pPr>
  </w:style>
  <w:style w:type="character" w:customStyle="1" w:styleId="EncabezadoCar">
    <w:name w:val="Encabezado Car"/>
    <w:basedOn w:val="Fuentedeprrafopredeter"/>
    <w:link w:val="Encabezado"/>
    <w:uiPriority w:val="99"/>
    <w:rsid w:val="00A943A1"/>
  </w:style>
  <w:style w:type="paragraph" w:styleId="Piedepgina">
    <w:name w:val="footer"/>
    <w:basedOn w:val="Normal"/>
    <w:link w:val="PiedepginaCar"/>
    <w:uiPriority w:val="99"/>
    <w:unhideWhenUsed/>
    <w:rsid w:val="00A943A1"/>
    <w:pPr>
      <w:tabs>
        <w:tab w:val="center" w:pos="4419"/>
        <w:tab w:val="right" w:pos="8838"/>
      </w:tabs>
    </w:pPr>
  </w:style>
  <w:style w:type="character" w:customStyle="1" w:styleId="PiedepginaCar">
    <w:name w:val="Pie de página Car"/>
    <w:basedOn w:val="Fuentedeprrafopredeter"/>
    <w:link w:val="Piedepgina"/>
    <w:uiPriority w:val="99"/>
    <w:rsid w:val="00A943A1"/>
  </w:style>
  <w:style w:type="paragraph" w:styleId="Sinespaciado">
    <w:name w:val="No Spacing"/>
    <w:link w:val="SinespaciadoCar"/>
    <w:uiPriority w:val="1"/>
    <w:qFormat/>
    <w:rsid w:val="00A943A1"/>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A943A1"/>
    <w:rPr>
      <w:rFonts w:eastAsiaTheme="minorEastAsia"/>
      <w:lang w:eastAsia="es-CO"/>
    </w:rPr>
  </w:style>
  <w:style w:type="character" w:customStyle="1" w:styleId="Ttulo1Car">
    <w:name w:val="Título 1 Car"/>
    <w:basedOn w:val="Fuentedeprrafopredeter"/>
    <w:link w:val="Ttulo1"/>
    <w:rsid w:val="00694C46"/>
    <w:rPr>
      <w:rFonts w:ascii="Times New Roman" w:eastAsia="Times New Roman" w:hAnsi="Times New Roman" w:cs="Times New Roman"/>
      <w:sz w:val="24"/>
      <w:szCs w:val="20"/>
      <w:lang w:val="es-MX" w:eastAsia="es-MX"/>
    </w:rPr>
  </w:style>
  <w:style w:type="paragraph" w:styleId="Textoindependiente">
    <w:name w:val="Body Text"/>
    <w:basedOn w:val="Normal"/>
    <w:link w:val="TextoindependienteCar"/>
    <w:rsid w:val="00694C46"/>
    <w:pPr>
      <w:jc w:val="both"/>
    </w:pPr>
    <w:rPr>
      <w:sz w:val="24"/>
    </w:rPr>
  </w:style>
  <w:style w:type="character" w:customStyle="1" w:styleId="TextoindependienteCar">
    <w:name w:val="Texto independiente Car"/>
    <w:basedOn w:val="Fuentedeprrafopredeter"/>
    <w:link w:val="Textoindependiente"/>
    <w:rsid w:val="00694C46"/>
    <w:rPr>
      <w:rFonts w:ascii="Times New Roman" w:eastAsia="Times New Roman" w:hAnsi="Times New Roman" w:cs="Times New Roman"/>
      <w:sz w:val="24"/>
      <w:szCs w:val="20"/>
      <w:lang w:val="es-ES" w:eastAsia="es-MX"/>
    </w:rPr>
  </w:style>
  <w:style w:type="paragraph" w:styleId="Textoindependiente3">
    <w:name w:val="Body Text 3"/>
    <w:basedOn w:val="Normal"/>
    <w:link w:val="Textoindependiente3Car"/>
    <w:rsid w:val="00694C46"/>
    <w:pPr>
      <w:spacing w:after="120"/>
    </w:pPr>
    <w:rPr>
      <w:sz w:val="16"/>
      <w:szCs w:val="16"/>
    </w:rPr>
  </w:style>
  <w:style w:type="character" w:customStyle="1" w:styleId="Textoindependiente3Car">
    <w:name w:val="Texto independiente 3 Car"/>
    <w:basedOn w:val="Fuentedeprrafopredeter"/>
    <w:link w:val="Textoindependiente3"/>
    <w:rsid w:val="00694C46"/>
    <w:rPr>
      <w:rFonts w:ascii="Times New Roman" w:eastAsia="Times New Roman" w:hAnsi="Times New Roman" w:cs="Times New Roman"/>
      <w:sz w:val="16"/>
      <w:szCs w:val="16"/>
      <w:lang w:val="es-ES" w:eastAsia="es-MX"/>
    </w:rPr>
  </w:style>
  <w:style w:type="character" w:styleId="Refdenotaalpie">
    <w:name w:val="footnote reference"/>
    <w:aliases w:val="Ref. de nota al pie 2"/>
    <w:basedOn w:val="Fuentedeprrafopredeter"/>
    <w:uiPriority w:val="99"/>
    <w:semiHidden/>
    <w:rsid w:val="00783573"/>
    <w:rPr>
      <w:vertAlign w:val="superscript"/>
    </w:rPr>
  </w:style>
  <w:style w:type="paragraph" w:styleId="Textonotapie">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TextonotapieCar"/>
    <w:uiPriority w:val="99"/>
    <w:semiHidden/>
    <w:rsid w:val="00783573"/>
    <w:rPr>
      <w:rFonts w:ascii="Arial" w:hAnsi="Arial"/>
      <w:lang w:val="es-CO" w:eastAsia="es-ES"/>
    </w:rPr>
  </w:style>
  <w:style w:type="character" w:customStyle="1" w:styleId="TextonotapieCar">
    <w:name w:val="Texto nota pie Car"/>
    <w:aliases w:val="Texto nota pie Car Car Car1,Texto nota pie Car1 Car Car Car,Texto nota pie Car Car Car Car,Footnote Text Char Char Char Char Char Car,Footnote Text Char Char Char Char Car,Footnote reference Car,FA Fu Car,Footnote Text Cha Car"/>
    <w:basedOn w:val="Fuentedeprrafopredeter"/>
    <w:link w:val="Textonotapie"/>
    <w:uiPriority w:val="99"/>
    <w:semiHidden/>
    <w:rsid w:val="00783573"/>
    <w:rPr>
      <w:rFonts w:ascii="Arial" w:eastAsia="Times New Roman" w:hAnsi="Arial" w:cs="Times New Roman"/>
      <w:sz w:val="20"/>
      <w:szCs w:val="20"/>
      <w:lang w:eastAsia="es-ES"/>
    </w:rPr>
  </w:style>
  <w:style w:type="table" w:customStyle="1" w:styleId="Tablanormal11">
    <w:name w:val="Tabla normal 11"/>
    <w:basedOn w:val="Tablanormal"/>
    <w:uiPriority w:val="41"/>
    <w:rsid w:val="00783573"/>
    <w:pPr>
      <w:spacing w:after="0" w:line="240" w:lineRule="auto"/>
    </w:pPr>
    <w:rPr>
      <w:rFonts w:eastAsiaTheme="minorEastAsia"/>
      <w:lang w:eastAsia="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basedOn w:val="Normal"/>
    <w:uiPriority w:val="34"/>
    <w:qFormat/>
    <w:rsid w:val="00973F0E"/>
    <w:pPr>
      <w:ind w:left="720"/>
      <w:contextualSpacing/>
    </w:pPr>
  </w:style>
  <w:style w:type="paragraph" w:styleId="NormalWeb">
    <w:name w:val="Normal (Web)"/>
    <w:basedOn w:val="Normal"/>
    <w:uiPriority w:val="99"/>
    <w:unhideWhenUsed/>
    <w:rsid w:val="00973D02"/>
    <w:pPr>
      <w:spacing w:before="100" w:beforeAutospacing="1" w:after="100" w:afterAutospacing="1"/>
    </w:pPr>
    <w:rPr>
      <w:sz w:val="24"/>
      <w:szCs w:val="24"/>
      <w:lang w:val="es-CO" w:eastAsia="es-CO"/>
    </w:rPr>
  </w:style>
  <w:style w:type="paragraph" w:styleId="Ttulo">
    <w:name w:val="Title"/>
    <w:basedOn w:val="Normal"/>
    <w:link w:val="TtuloCar"/>
    <w:qFormat/>
    <w:rsid w:val="004101F0"/>
    <w:pPr>
      <w:spacing w:line="360" w:lineRule="auto"/>
      <w:jc w:val="center"/>
    </w:pPr>
    <w:rPr>
      <w:rFonts w:ascii="Arial" w:hAnsi="Arial" w:cs="Arial"/>
      <w:b/>
      <w:bCs/>
      <w:sz w:val="24"/>
      <w:szCs w:val="24"/>
      <w:lang w:val="es-CO" w:eastAsia="es-ES"/>
    </w:rPr>
  </w:style>
  <w:style w:type="character" w:customStyle="1" w:styleId="TtuloCar">
    <w:name w:val="Título Car"/>
    <w:basedOn w:val="Fuentedeprrafopredeter"/>
    <w:link w:val="Ttulo"/>
    <w:rsid w:val="004101F0"/>
    <w:rPr>
      <w:rFonts w:ascii="Arial" w:eastAsia="Times New Roman" w:hAnsi="Arial" w:cs="Arial"/>
      <w:b/>
      <w:bCs/>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43666">
      <w:bodyDiv w:val="1"/>
      <w:marLeft w:val="0"/>
      <w:marRight w:val="0"/>
      <w:marTop w:val="0"/>
      <w:marBottom w:val="0"/>
      <w:divBdr>
        <w:top w:val="none" w:sz="0" w:space="0" w:color="auto"/>
        <w:left w:val="none" w:sz="0" w:space="0" w:color="auto"/>
        <w:bottom w:val="none" w:sz="0" w:space="0" w:color="auto"/>
        <w:right w:val="none" w:sz="0" w:space="0" w:color="auto"/>
      </w:divBdr>
    </w:div>
    <w:div w:id="93330034">
      <w:bodyDiv w:val="1"/>
      <w:marLeft w:val="0"/>
      <w:marRight w:val="0"/>
      <w:marTop w:val="0"/>
      <w:marBottom w:val="0"/>
      <w:divBdr>
        <w:top w:val="none" w:sz="0" w:space="0" w:color="auto"/>
        <w:left w:val="none" w:sz="0" w:space="0" w:color="auto"/>
        <w:bottom w:val="none" w:sz="0" w:space="0" w:color="auto"/>
        <w:right w:val="none" w:sz="0" w:space="0" w:color="auto"/>
      </w:divBdr>
    </w:div>
    <w:div w:id="947199947">
      <w:bodyDiv w:val="1"/>
      <w:marLeft w:val="0"/>
      <w:marRight w:val="0"/>
      <w:marTop w:val="0"/>
      <w:marBottom w:val="0"/>
      <w:divBdr>
        <w:top w:val="none" w:sz="0" w:space="0" w:color="auto"/>
        <w:left w:val="none" w:sz="0" w:space="0" w:color="auto"/>
        <w:bottom w:val="none" w:sz="0" w:space="0" w:color="auto"/>
        <w:right w:val="none" w:sz="0" w:space="0" w:color="auto"/>
      </w:divBdr>
    </w:div>
    <w:div w:id="192101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2018-02-01T00:00:00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5CB20DD-AC00-43F8-A8E9-31AAC02D0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3548</TotalTime>
  <Pages>5</Pages>
  <Words>1869</Words>
  <Characters>10280</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OFIC. JURIDICA 2</dc:creator>
  <cp:lastModifiedBy>OFIC. JURIDICA 2</cp:lastModifiedBy>
  <cp:revision>27</cp:revision>
  <cp:lastPrinted>2018-10-04T20:47:00Z</cp:lastPrinted>
  <dcterms:created xsi:type="dcterms:W3CDTF">2018-09-27T20:32:00Z</dcterms:created>
  <dcterms:modified xsi:type="dcterms:W3CDTF">2018-11-20T14:57:00Z</dcterms:modified>
</cp:coreProperties>
</file>